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BD2" w:rsidRDefault="00243E4E">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#11</w:t>
      </w:r>
      <w:r w:rsidR="005C4C25">
        <w:rPr>
          <w:rFonts w:ascii="Arial" w:hAnsi="Arial" w:cs="Arial"/>
          <w:b/>
          <w:sz w:val="22"/>
          <w:szCs w:val="22"/>
        </w:rPr>
        <w:t>1</w:t>
      </w:r>
      <w:r>
        <w:rPr>
          <w:rFonts w:ascii="Arial" w:hAnsi="Arial" w:cs="Arial"/>
          <w:b/>
          <w:sz w:val="22"/>
          <w:szCs w:val="22"/>
        </w:rPr>
        <w:tab/>
      </w:r>
      <w:r w:rsidR="00A0739C" w:rsidRPr="00A0739C">
        <w:rPr>
          <w:rFonts w:ascii="Arial" w:hAnsi="Arial" w:cs="Arial"/>
          <w:b/>
          <w:sz w:val="22"/>
          <w:szCs w:val="22"/>
        </w:rPr>
        <w:t>R1-2211633</w:t>
      </w:r>
      <w:bookmarkStart w:id="1" w:name="_GoBack"/>
      <w:bookmarkEnd w:id="1"/>
    </w:p>
    <w:p w:rsidR="00890BD2" w:rsidRDefault="005C4C25">
      <w:pPr>
        <w:tabs>
          <w:tab w:val="right" w:pos="9630"/>
        </w:tabs>
        <w:spacing w:after="0"/>
        <w:rPr>
          <w:rFonts w:ascii="Arial" w:hAnsi="Arial" w:cs="Arial"/>
          <w:b/>
          <w:sz w:val="22"/>
          <w:szCs w:val="22"/>
        </w:rPr>
      </w:pPr>
      <w:r w:rsidRPr="005C4C25">
        <w:rPr>
          <w:rFonts w:ascii="Arial" w:hAnsi="Arial" w:cs="Arial"/>
          <w:b/>
          <w:sz w:val="22"/>
          <w:szCs w:val="22"/>
          <w:lang w:eastAsia="zh-CN"/>
        </w:rPr>
        <w:t>Toulouse, France, November 14th – 18th, 2022</w:t>
      </w:r>
      <w:r w:rsidR="00243E4E">
        <w:rPr>
          <w:rFonts w:ascii="Arial" w:hAnsi="Arial" w:cs="Arial"/>
          <w:b/>
          <w:sz w:val="22"/>
          <w:szCs w:val="22"/>
          <w:lang w:eastAsia="zh-CN"/>
        </w:rPr>
        <w:tab/>
      </w:r>
    </w:p>
    <w:p w:rsidR="00890BD2" w:rsidRDefault="00890BD2">
      <w:pPr>
        <w:pStyle w:val="af0"/>
        <w:jc w:val="both"/>
      </w:pPr>
    </w:p>
    <w:p w:rsidR="00890BD2" w:rsidRDefault="00243E4E">
      <w:pPr>
        <w:tabs>
          <w:tab w:val="left" w:pos="1985"/>
        </w:tabs>
        <w:spacing w:after="0"/>
        <w:rPr>
          <w:rFonts w:ascii="Arial" w:hAnsi="Arial"/>
          <w:b/>
        </w:rPr>
      </w:pPr>
      <w:r>
        <w:rPr>
          <w:rFonts w:ascii="Arial" w:hAnsi="Arial"/>
          <w:b/>
        </w:rPr>
        <w:t xml:space="preserve">Title: </w:t>
      </w:r>
      <w:r>
        <w:rPr>
          <w:rFonts w:ascii="Arial" w:hAnsi="Arial"/>
          <w:b/>
        </w:rPr>
        <w:tab/>
      </w:r>
      <w:r w:rsidR="005001EA" w:rsidRPr="005001EA">
        <w:rPr>
          <w:rFonts w:ascii="Arial" w:hAnsi="Arial"/>
          <w:b/>
        </w:rPr>
        <w:t>Draft TP for UL Tx switching for non-simultaneous transmission on two UL bands</w:t>
      </w:r>
    </w:p>
    <w:p w:rsidR="00890BD2" w:rsidRDefault="00243E4E">
      <w:pPr>
        <w:tabs>
          <w:tab w:val="left" w:pos="1985"/>
        </w:tabs>
        <w:spacing w:after="0"/>
        <w:rPr>
          <w:rFonts w:ascii="Arial" w:hAnsi="Arial"/>
          <w:b/>
        </w:rPr>
      </w:pPr>
      <w:r>
        <w:rPr>
          <w:rFonts w:ascii="Arial" w:hAnsi="Arial"/>
          <w:b/>
        </w:rPr>
        <w:t xml:space="preserve">Source: </w:t>
      </w:r>
      <w:r>
        <w:rPr>
          <w:rFonts w:ascii="Arial" w:hAnsi="Arial"/>
          <w:b/>
        </w:rPr>
        <w:tab/>
        <w:t>ZTE</w:t>
      </w:r>
    </w:p>
    <w:p w:rsidR="00890BD2" w:rsidRDefault="00243E4E">
      <w:pPr>
        <w:tabs>
          <w:tab w:val="left" w:pos="1985"/>
        </w:tabs>
        <w:spacing w:after="0"/>
        <w:rPr>
          <w:rFonts w:ascii="Arial" w:hAnsi="Arial"/>
          <w:b/>
          <w:lang w:eastAsia="zh-CN"/>
        </w:rPr>
      </w:pPr>
      <w:r>
        <w:rPr>
          <w:rFonts w:ascii="Arial" w:hAnsi="Arial"/>
          <w:b/>
        </w:rPr>
        <w:t>Agenda item:</w:t>
      </w:r>
      <w:r>
        <w:rPr>
          <w:rFonts w:ascii="Arial" w:hAnsi="Arial"/>
          <w:b/>
        </w:rPr>
        <w:tab/>
      </w:r>
      <w:r w:rsidR="005C4C25">
        <w:rPr>
          <w:rFonts w:ascii="Arial" w:hAnsi="Arial"/>
          <w:b/>
        </w:rPr>
        <w:t>7.2</w:t>
      </w:r>
    </w:p>
    <w:p w:rsidR="00890BD2" w:rsidRDefault="00243E4E">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890BD2" w:rsidRDefault="00243E4E">
      <w:pPr>
        <w:pStyle w:val="1"/>
        <w:textAlignment w:val="auto"/>
      </w:pPr>
      <w:bookmarkStart w:id="3" w:name="_Ref4817"/>
      <w:r>
        <w:t>Introduction</w:t>
      </w:r>
      <w:bookmarkEnd w:id="0"/>
      <w:bookmarkEnd w:id="3"/>
    </w:p>
    <w:p w:rsidR="00890BD2" w:rsidRDefault="00243E4E">
      <w:pPr>
        <w:rPr>
          <w:lang w:val="en-GB" w:eastAsia="zh-CN"/>
        </w:rPr>
      </w:pPr>
      <w:r>
        <w:rPr>
          <w:rFonts w:hint="eastAsia"/>
          <w:lang w:val="en-GB" w:eastAsia="zh-CN"/>
        </w:rPr>
        <w:t>I</w:t>
      </w:r>
      <w:r>
        <w:rPr>
          <w:lang w:val="en-GB" w:eastAsia="zh-CN"/>
        </w:rPr>
        <w:t>n RAN</w:t>
      </w:r>
      <w:r w:rsidR="0041513D">
        <w:rPr>
          <w:lang w:val="en-GB" w:eastAsia="zh-CN"/>
        </w:rPr>
        <w:t xml:space="preserve">1#110bis-e meeting, </w:t>
      </w:r>
      <w:r w:rsidR="00331126">
        <w:rPr>
          <w:lang w:val="en-GB" w:eastAsia="zh-CN"/>
        </w:rPr>
        <w:t xml:space="preserve">draft TP for </w:t>
      </w:r>
      <w:r w:rsidR="00331126" w:rsidRPr="00331126">
        <w:rPr>
          <w:lang w:val="en-GB" w:eastAsia="zh-CN"/>
        </w:rPr>
        <w:t>switched UL CA and SUL for non-simultaneous transmission on two UL bands</w:t>
      </w:r>
      <w:r w:rsidR="00331126">
        <w:rPr>
          <w:lang w:val="en-GB" w:eastAsia="zh-CN"/>
        </w:rPr>
        <w:t xml:space="preserve"> was discussed without any conclusion</w:t>
      </w:r>
      <w:r w:rsidR="005B7448">
        <w:rPr>
          <w:lang w:val="en-GB" w:eastAsia="zh-CN"/>
        </w:rPr>
        <w:t xml:space="preserve"> [1][2]</w:t>
      </w:r>
      <w:r w:rsidR="00331126">
        <w:rPr>
          <w:lang w:val="en-GB" w:eastAsia="zh-CN"/>
        </w:rPr>
        <w:t xml:space="preserve">. In this contribution, we </w:t>
      </w:r>
      <w:r w:rsidR="00271048">
        <w:rPr>
          <w:lang w:val="en-GB" w:eastAsia="zh-CN"/>
        </w:rPr>
        <w:t>present our views and analysis for this issue.</w:t>
      </w:r>
    </w:p>
    <w:p w:rsidR="0041513D" w:rsidRDefault="0041513D">
      <w:pPr>
        <w:rPr>
          <w:lang w:val="en-GB" w:eastAsia="zh-CN"/>
        </w:rPr>
      </w:pPr>
    </w:p>
    <w:p w:rsidR="00890BD2" w:rsidRDefault="005B7448">
      <w:pPr>
        <w:pStyle w:val="1"/>
        <w:rPr>
          <w:lang w:eastAsia="zh-CN"/>
        </w:rPr>
      </w:pPr>
      <w:r>
        <w:rPr>
          <w:rFonts w:hint="eastAsia"/>
          <w:lang w:eastAsia="zh-CN"/>
        </w:rPr>
        <w:t>D</w:t>
      </w:r>
      <w:r>
        <w:rPr>
          <w:lang w:eastAsia="zh-CN"/>
        </w:rPr>
        <w:t>iscussions</w:t>
      </w:r>
    </w:p>
    <w:p w:rsidR="005B7448" w:rsidRPr="005B7448" w:rsidRDefault="005B7448" w:rsidP="001B4B4E">
      <w:pPr>
        <w:pStyle w:val="2"/>
        <w:rPr>
          <w:lang w:eastAsia="zh-CN"/>
        </w:rPr>
      </w:pPr>
      <w:r>
        <w:rPr>
          <w:lang w:eastAsia="zh-CN"/>
        </w:rPr>
        <w:t xml:space="preserve">UL Tx switching for </w:t>
      </w:r>
      <w:r w:rsidRPr="005B7448">
        <w:rPr>
          <w:lang w:eastAsia="zh-CN"/>
        </w:rPr>
        <w:t>CA</w:t>
      </w:r>
    </w:p>
    <w:p w:rsidR="005B7448" w:rsidRDefault="005B7448">
      <w:pPr>
        <w:rPr>
          <w:lang w:val="en-GB" w:eastAsia="zh-CN"/>
        </w:rPr>
      </w:pPr>
      <w:r>
        <w:rPr>
          <w:rFonts w:hint="eastAsia"/>
          <w:lang w:val="en-GB" w:eastAsia="zh-CN"/>
        </w:rPr>
        <w:t>S</w:t>
      </w:r>
      <w:r>
        <w:rPr>
          <w:lang w:val="en-GB" w:eastAsia="zh-CN"/>
        </w:rPr>
        <w:t xml:space="preserve">ince Rel-16, two operation modes have been introduced for UL Tx switching for CA, i.e., </w:t>
      </w:r>
      <w:proofErr w:type="spellStart"/>
      <w:r>
        <w:rPr>
          <w:lang w:val="en-GB" w:eastAsia="zh-CN"/>
        </w:rPr>
        <w:t>switchedUL</w:t>
      </w:r>
      <w:proofErr w:type="spellEnd"/>
      <w:r>
        <w:rPr>
          <w:lang w:val="en-GB" w:eastAsia="zh-CN"/>
        </w:rPr>
        <w:t xml:space="preserve"> and </w:t>
      </w:r>
      <w:proofErr w:type="spellStart"/>
      <w:r>
        <w:rPr>
          <w:lang w:val="en-GB" w:eastAsia="zh-CN"/>
        </w:rPr>
        <w:t>dualUL</w:t>
      </w:r>
      <w:proofErr w:type="spellEnd"/>
      <w:r>
        <w:rPr>
          <w:lang w:val="en-GB" w:eastAsia="zh-CN"/>
        </w:rPr>
        <w:t>. For</w:t>
      </w:r>
      <w:r w:rsidRPr="005B7448">
        <w:rPr>
          <w:lang w:val="en-GB" w:eastAsia="zh-CN"/>
        </w:rPr>
        <w:t xml:space="preserve"> the UE configured with </w:t>
      </w:r>
      <w:proofErr w:type="spellStart"/>
      <w:r w:rsidRPr="005B7448">
        <w:rPr>
          <w:lang w:val="en-GB" w:eastAsia="zh-CN"/>
        </w:rPr>
        <w:t>uplinkTxSwitchingOption</w:t>
      </w:r>
      <w:proofErr w:type="spellEnd"/>
      <w:r w:rsidRPr="005B7448">
        <w:rPr>
          <w:lang w:val="en-GB" w:eastAsia="zh-CN"/>
        </w:rPr>
        <w:t xml:space="preserve"> set to '</w:t>
      </w:r>
      <w:proofErr w:type="spellStart"/>
      <w:r w:rsidRPr="005B7448">
        <w:rPr>
          <w:i/>
          <w:lang w:val="en-GB" w:eastAsia="zh-CN"/>
        </w:rPr>
        <w:t>switchedUL</w:t>
      </w:r>
      <w:proofErr w:type="spellEnd"/>
      <w:r w:rsidRPr="005B7448">
        <w:rPr>
          <w:lang w:val="en-GB" w:eastAsia="zh-CN"/>
        </w:rPr>
        <w:t>'</w:t>
      </w:r>
      <w:r>
        <w:rPr>
          <w:lang w:val="en-GB" w:eastAsia="zh-CN"/>
        </w:rPr>
        <w:t>, UE is not allowed to have “1P+1P” transmission on the two UL bands. While for</w:t>
      </w:r>
      <w:r w:rsidRPr="005B7448">
        <w:rPr>
          <w:lang w:val="en-GB" w:eastAsia="zh-CN"/>
        </w:rPr>
        <w:t xml:space="preserve"> the UE configured with </w:t>
      </w:r>
      <w:proofErr w:type="spellStart"/>
      <w:r w:rsidRPr="005B7448">
        <w:rPr>
          <w:lang w:val="en-GB" w:eastAsia="zh-CN"/>
        </w:rPr>
        <w:t>uplinkTxSwitchingOption</w:t>
      </w:r>
      <w:proofErr w:type="spellEnd"/>
      <w:r w:rsidRPr="005B7448">
        <w:rPr>
          <w:lang w:val="en-GB" w:eastAsia="zh-CN"/>
        </w:rPr>
        <w:t xml:space="preserve"> set to '</w:t>
      </w:r>
      <w:proofErr w:type="spellStart"/>
      <w:r w:rsidRPr="005B7448">
        <w:rPr>
          <w:i/>
          <w:lang w:val="en-GB" w:eastAsia="zh-CN"/>
        </w:rPr>
        <w:t>dualUL</w:t>
      </w:r>
      <w:proofErr w:type="spellEnd"/>
      <w:r w:rsidRPr="005B7448">
        <w:rPr>
          <w:lang w:val="en-GB" w:eastAsia="zh-CN"/>
        </w:rPr>
        <w:t>'</w:t>
      </w:r>
      <w:r>
        <w:rPr>
          <w:lang w:val="en-GB" w:eastAsia="zh-CN"/>
        </w:rPr>
        <w:t xml:space="preserve">, UE is allowed to have “1P+1P” transmission on the two UL bands. This is the common understanding between companies and can also be reflected in the </w:t>
      </w:r>
      <w:r w:rsidR="00283C2F">
        <w:rPr>
          <w:lang w:val="en-GB" w:eastAsia="zh-CN"/>
        </w:rPr>
        <w:t>previous</w:t>
      </w:r>
      <w:r>
        <w:rPr>
          <w:lang w:val="en-GB" w:eastAsia="zh-CN"/>
        </w:rPr>
        <w:t xml:space="preserve"> agreements</w:t>
      </w:r>
      <w:r w:rsidR="00283C2F">
        <w:rPr>
          <w:lang w:val="en-GB" w:eastAsia="zh-CN"/>
        </w:rPr>
        <w:t>, e.g., the following Rel-16 agreements</w:t>
      </w:r>
      <w:r>
        <w:rPr>
          <w:lang w:val="en-GB" w:eastAsia="zh-CN"/>
        </w:rPr>
        <w:t>.</w:t>
      </w:r>
    </w:p>
    <w:tbl>
      <w:tblPr>
        <w:tblStyle w:val="af9"/>
        <w:tblW w:w="0" w:type="auto"/>
        <w:tblLook w:val="04A0" w:firstRow="1" w:lastRow="0" w:firstColumn="1" w:lastColumn="0" w:noHBand="0" w:noVBand="1"/>
      </w:tblPr>
      <w:tblGrid>
        <w:gridCol w:w="9628"/>
      </w:tblGrid>
      <w:tr w:rsidR="00283C2F" w:rsidRPr="00283C2F" w:rsidTr="00283C2F">
        <w:tc>
          <w:tcPr>
            <w:tcW w:w="9628" w:type="dxa"/>
          </w:tcPr>
          <w:p w:rsidR="00283C2F" w:rsidRPr="00283C2F" w:rsidRDefault="00283C2F" w:rsidP="00283C2F">
            <w:pPr>
              <w:spacing w:before="0" w:after="0" w:line="240" w:lineRule="auto"/>
              <w:rPr>
                <w:rFonts w:ascii="Times New Roman" w:hAnsi="Times New Roman"/>
                <w:highlight w:val="green"/>
                <w:lang w:eastAsia="x-none"/>
              </w:rPr>
            </w:pPr>
            <w:r w:rsidRPr="00283C2F">
              <w:rPr>
                <w:rFonts w:ascii="Times New Roman" w:hAnsi="Times New Roman"/>
                <w:highlight w:val="green"/>
                <w:lang w:eastAsia="x-none"/>
              </w:rPr>
              <w:t>Agreements:</w:t>
            </w:r>
          </w:p>
          <w:p w:rsidR="00283C2F" w:rsidRPr="00283C2F" w:rsidRDefault="00283C2F" w:rsidP="00283C2F">
            <w:pPr>
              <w:snapToGrid w:val="0"/>
              <w:spacing w:before="0" w:after="0" w:line="240" w:lineRule="auto"/>
              <w:ind w:left="420" w:hanging="420"/>
              <w:rPr>
                <w:rFonts w:ascii="Times New Roman" w:hAnsi="Times New Roman"/>
                <w:lang w:eastAsia="zh-CN"/>
              </w:rPr>
            </w:pPr>
            <w:r w:rsidRPr="00283C2F">
              <w:rPr>
                <w:rFonts w:ascii="Times New Roman" w:hAnsi="Times New Roman"/>
              </w:rPr>
              <w:t>For inter-band UL CA, if UE reports via capability signaling to support uplink Tx switching, UE further reports via capability signaling which option (between Option 1 and Option 2) is supported.</w:t>
            </w:r>
          </w:p>
          <w:p w:rsidR="00283C2F" w:rsidRPr="00283C2F" w:rsidRDefault="00283C2F" w:rsidP="00283C2F">
            <w:pPr>
              <w:snapToGrid w:val="0"/>
              <w:spacing w:before="0" w:after="0" w:line="240" w:lineRule="auto"/>
              <w:ind w:left="840" w:hanging="420"/>
              <w:rPr>
                <w:rFonts w:ascii="Times New Roman" w:hAnsi="Times New Roman"/>
              </w:rPr>
            </w:pPr>
            <w:r w:rsidRPr="00283C2F">
              <w:rPr>
                <w:rFonts w:ascii="Times New Roman" w:eastAsia="Arial Unicode MS" w:hAnsi="Times New Roman"/>
              </w:rPr>
              <w:softHyphen/>
            </w:r>
            <w:r w:rsidRPr="00283C2F">
              <w:rPr>
                <w:rFonts w:ascii="Times New Roman" w:hAnsi="Times New Roman"/>
              </w:rPr>
              <w:t xml:space="preserve">        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283C2F" w:rsidRPr="00283C2F" w:rsidTr="00DC1248">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c"/>
                    <w:spacing w:after="0"/>
                    <w:jc w:val="center"/>
                    <w:rPr>
                      <w:sz w:val="20"/>
                      <w:szCs w:val="20"/>
                    </w:rPr>
                  </w:pPr>
                  <w:r w:rsidRPr="00283C2F">
                    <w:rPr>
                      <w:sz w:val="20"/>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c"/>
                    <w:spacing w:after="0"/>
                    <w:jc w:val="center"/>
                    <w:rPr>
                      <w:sz w:val="20"/>
                      <w:szCs w:val="20"/>
                    </w:rPr>
                  </w:pPr>
                  <w:r w:rsidRPr="00283C2F">
                    <w:rPr>
                      <w:sz w:val="20"/>
                      <w:szCs w:val="20"/>
                    </w:rPr>
                    <w:t xml:space="preserve">Number of </w:t>
                  </w:r>
                  <w:r w:rsidRPr="00283C2F">
                    <w:rPr>
                      <w:b/>
                      <w:bCs/>
                      <w:sz w:val="20"/>
                      <w:szCs w:val="20"/>
                    </w:rPr>
                    <w:t xml:space="preserve">Tx chains </w:t>
                  </w:r>
                  <w:r w:rsidRPr="00283C2F">
                    <w:rPr>
                      <w:sz w:val="20"/>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c"/>
                    <w:spacing w:after="0"/>
                    <w:jc w:val="center"/>
                    <w:rPr>
                      <w:sz w:val="20"/>
                      <w:szCs w:val="20"/>
                    </w:rPr>
                  </w:pPr>
                  <w:r w:rsidRPr="00283C2F">
                    <w:rPr>
                      <w:sz w:val="20"/>
                      <w:szCs w:val="20"/>
                    </w:rPr>
                    <w:t xml:space="preserve">Number of </w:t>
                  </w:r>
                  <w:r w:rsidRPr="00283C2F">
                    <w:rPr>
                      <w:b/>
                      <w:bCs/>
                      <w:sz w:val="20"/>
                      <w:szCs w:val="20"/>
                    </w:rPr>
                    <w:t xml:space="preserve">antenna ports </w:t>
                  </w:r>
                  <w:r w:rsidRPr="00283C2F">
                    <w:rPr>
                      <w:sz w:val="20"/>
                      <w:szCs w:val="20"/>
                    </w:rPr>
                    <w:t>for UL transmission (carrier 1 + carrier 2)</w:t>
                  </w:r>
                </w:p>
              </w:tc>
            </w:tr>
            <w:tr w:rsidR="00283C2F" w:rsidRPr="00283C2F" w:rsidTr="00DC1248">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sz w:val="20"/>
                      <w:szCs w:val="20"/>
                    </w:rPr>
                  </w:pPr>
                  <w:r w:rsidRPr="00283C2F">
                    <w:rPr>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sz w:val="20"/>
                      <w:szCs w:val="20"/>
                    </w:rPr>
                  </w:pPr>
                  <w:r w:rsidRPr="00283C2F">
                    <w:rPr>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sz w:val="20"/>
                      <w:szCs w:val="20"/>
                    </w:rPr>
                  </w:pPr>
                  <w:r w:rsidRPr="00283C2F">
                    <w:rPr>
                      <w:sz w:val="20"/>
                      <w:szCs w:val="20"/>
                    </w:rPr>
                    <w:t>1P+0P</w:t>
                  </w:r>
                </w:p>
              </w:tc>
            </w:tr>
            <w:tr w:rsidR="00283C2F" w:rsidRPr="00283C2F" w:rsidTr="00DC1248">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sz w:val="20"/>
                      <w:szCs w:val="20"/>
                    </w:rPr>
                  </w:pPr>
                  <w:r w:rsidRPr="00283C2F">
                    <w:rPr>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sz w:val="20"/>
                      <w:szCs w:val="20"/>
                    </w:rPr>
                  </w:pPr>
                  <w:r w:rsidRPr="00283C2F">
                    <w:rPr>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sz w:val="20"/>
                      <w:szCs w:val="20"/>
                    </w:rPr>
                  </w:pPr>
                  <w:r w:rsidRPr="00283C2F">
                    <w:rPr>
                      <w:sz w:val="20"/>
                      <w:szCs w:val="20"/>
                    </w:rPr>
                    <w:t xml:space="preserve">0P+2P, 0P+1P </w:t>
                  </w:r>
                </w:p>
              </w:tc>
            </w:tr>
          </w:tbl>
          <w:p w:rsidR="00283C2F" w:rsidRPr="00283C2F" w:rsidRDefault="00283C2F" w:rsidP="00283C2F">
            <w:pPr>
              <w:snapToGrid w:val="0"/>
              <w:spacing w:before="0" w:after="0" w:line="240" w:lineRule="auto"/>
              <w:rPr>
                <w:rFonts w:ascii="Times New Roman" w:eastAsia="等线" w:hAnsi="Times New Roman"/>
              </w:rPr>
            </w:pPr>
            <w:r w:rsidRPr="00283C2F">
              <w:rPr>
                <w:rFonts w:ascii="Times New Roman" w:hAnsi="Times New Roman"/>
              </w:rPr>
              <w:t> </w:t>
            </w:r>
          </w:p>
          <w:p w:rsidR="00283C2F" w:rsidRPr="00283C2F" w:rsidRDefault="00283C2F" w:rsidP="00283C2F">
            <w:pPr>
              <w:snapToGrid w:val="0"/>
              <w:spacing w:before="0" w:after="0" w:line="240" w:lineRule="auto"/>
              <w:ind w:left="840" w:hanging="420"/>
              <w:rPr>
                <w:rFonts w:ascii="Times New Roman" w:hAnsi="Times New Roman"/>
              </w:rPr>
            </w:pPr>
            <w:r w:rsidRPr="00283C2F">
              <w:rPr>
                <w:rFonts w:ascii="Times New Roman" w:eastAsia="Arial Unicode MS" w:hAnsi="Times New Roman"/>
              </w:rPr>
              <w:softHyphen/>
            </w:r>
            <w:r w:rsidRPr="00283C2F">
              <w:rPr>
                <w:rFonts w:ascii="Times New Roman" w:hAnsi="Times New Roman"/>
              </w:rPr>
              <w:t>        Option 2: If uplink Tx switching is configured, UE can be scheduled or configured with UL transmission on both carrier 1 and carrier 2 for case 1.</w:t>
            </w:r>
          </w:p>
          <w:p w:rsidR="00283C2F" w:rsidRPr="00283C2F" w:rsidRDefault="00283C2F" w:rsidP="00283C2F">
            <w:pPr>
              <w:pStyle w:val="ac"/>
              <w:numPr>
                <w:ilvl w:val="0"/>
                <w:numId w:val="34"/>
              </w:numPr>
              <w:adjustRightInd/>
              <w:spacing w:before="0" w:after="0" w:line="240" w:lineRule="auto"/>
              <w:textAlignment w:val="auto"/>
              <w:rPr>
                <w:rFonts w:ascii="Times New Roman" w:hAnsi="Times New Roman"/>
                <w:sz w:val="20"/>
                <w:szCs w:val="20"/>
              </w:rPr>
            </w:pPr>
            <w:r w:rsidRPr="00283C2F">
              <w:rPr>
                <w:rFonts w:ascii="Times New Roman" w:hAnsi="Times New Roman"/>
                <w:sz w:val="20"/>
                <w:szCs w:val="20"/>
              </w:rPr>
              <w:t>UE can be scheduled or configured with UL transmission on either carrier 1 or carrier 2.</w:t>
            </w:r>
          </w:p>
          <w:p w:rsidR="00283C2F" w:rsidRPr="00283C2F" w:rsidRDefault="00283C2F" w:rsidP="00283C2F">
            <w:pPr>
              <w:pStyle w:val="ac"/>
              <w:numPr>
                <w:ilvl w:val="0"/>
                <w:numId w:val="34"/>
              </w:numPr>
              <w:adjustRightInd/>
              <w:spacing w:before="0" w:after="0" w:line="240" w:lineRule="auto"/>
              <w:textAlignment w:val="auto"/>
              <w:rPr>
                <w:rFonts w:ascii="Times New Roman" w:hAnsi="Times New Roman"/>
                <w:sz w:val="20"/>
                <w:szCs w:val="20"/>
              </w:rPr>
            </w:pPr>
            <w:r w:rsidRPr="00283C2F">
              <w:rPr>
                <w:rFonts w:ascii="Times New Roman" w:hAnsi="Times New Roman"/>
                <w:sz w:val="20"/>
                <w:szCs w:val="20"/>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283C2F" w:rsidRPr="00283C2F" w:rsidTr="00DC1248">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3C2F" w:rsidRPr="00283C2F" w:rsidRDefault="00283C2F" w:rsidP="00283C2F">
                  <w:pPr>
                    <w:pStyle w:val="ac"/>
                    <w:spacing w:after="0"/>
                    <w:ind w:firstLine="840"/>
                    <w:jc w:val="center"/>
                    <w:rPr>
                      <w:sz w:val="20"/>
                      <w:szCs w:val="20"/>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c"/>
                    <w:spacing w:after="0"/>
                    <w:ind w:firstLine="840"/>
                    <w:jc w:val="center"/>
                    <w:rPr>
                      <w:sz w:val="20"/>
                      <w:szCs w:val="20"/>
                    </w:rPr>
                  </w:pPr>
                  <w:r w:rsidRPr="00283C2F">
                    <w:rPr>
                      <w:sz w:val="20"/>
                      <w:szCs w:val="20"/>
                    </w:rPr>
                    <w:t xml:space="preserve">Number of </w:t>
                  </w:r>
                  <w:r w:rsidRPr="00283C2F">
                    <w:rPr>
                      <w:b/>
                      <w:bCs/>
                      <w:sz w:val="20"/>
                      <w:szCs w:val="20"/>
                    </w:rPr>
                    <w:t xml:space="preserve">Tx chains </w:t>
                  </w:r>
                  <w:r w:rsidRPr="00283C2F">
                    <w:rPr>
                      <w:sz w:val="20"/>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c"/>
                    <w:spacing w:after="0"/>
                    <w:ind w:firstLine="840"/>
                    <w:jc w:val="center"/>
                    <w:rPr>
                      <w:sz w:val="20"/>
                      <w:szCs w:val="20"/>
                    </w:rPr>
                  </w:pPr>
                  <w:r w:rsidRPr="00283C2F">
                    <w:rPr>
                      <w:sz w:val="20"/>
                      <w:szCs w:val="20"/>
                    </w:rPr>
                    <w:t xml:space="preserve">Number of </w:t>
                  </w:r>
                  <w:r w:rsidRPr="00283C2F">
                    <w:rPr>
                      <w:b/>
                      <w:bCs/>
                      <w:sz w:val="20"/>
                      <w:szCs w:val="20"/>
                    </w:rPr>
                    <w:t xml:space="preserve">antenna ports </w:t>
                  </w:r>
                  <w:r w:rsidRPr="00283C2F">
                    <w:rPr>
                      <w:sz w:val="20"/>
                      <w:szCs w:val="20"/>
                    </w:rPr>
                    <w:t>for UL transmission (carrier 1 + carrier 2)</w:t>
                  </w:r>
                </w:p>
              </w:tc>
            </w:tr>
            <w:tr w:rsidR="00283C2F" w:rsidRPr="00283C2F" w:rsidTr="00DC1248">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sz w:val="20"/>
                      <w:szCs w:val="20"/>
                    </w:rPr>
                  </w:pPr>
                  <w:r w:rsidRPr="00283C2F">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sz w:val="20"/>
                      <w:szCs w:val="20"/>
                    </w:rPr>
                  </w:pPr>
                  <w:r w:rsidRPr="00283C2F">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color w:val="000000"/>
                      <w:sz w:val="20"/>
                      <w:szCs w:val="20"/>
                    </w:rPr>
                  </w:pPr>
                  <w:r w:rsidRPr="00283C2F">
                    <w:rPr>
                      <w:color w:val="000000"/>
                      <w:sz w:val="20"/>
                      <w:szCs w:val="20"/>
                    </w:rPr>
                    <w:t>1P+0P, 1P+1P, 0P+1P</w:t>
                  </w:r>
                </w:p>
              </w:tc>
            </w:tr>
            <w:tr w:rsidR="00283C2F" w:rsidRPr="00283C2F" w:rsidTr="00DC1248">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sz w:val="20"/>
                      <w:szCs w:val="20"/>
                    </w:rPr>
                  </w:pPr>
                  <w:r w:rsidRPr="00283C2F">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sz w:val="20"/>
                      <w:szCs w:val="20"/>
                    </w:rPr>
                  </w:pPr>
                  <w:r w:rsidRPr="00283C2F">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3C2F" w:rsidRPr="00283C2F" w:rsidRDefault="00283C2F" w:rsidP="00283C2F">
                  <w:pPr>
                    <w:pStyle w:val="af7"/>
                    <w:spacing w:before="0" w:beforeAutospacing="0" w:after="0" w:afterAutospacing="0"/>
                    <w:jc w:val="center"/>
                    <w:rPr>
                      <w:color w:val="000000"/>
                      <w:sz w:val="20"/>
                      <w:szCs w:val="20"/>
                    </w:rPr>
                  </w:pPr>
                  <w:r w:rsidRPr="00283C2F">
                    <w:rPr>
                      <w:color w:val="000000"/>
                      <w:sz w:val="20"/>
                      <w:szCs w:val="20"/>
                    </w:rPr>
                    <w:t>0P+2P, 0P+1P</w:t>
                  </w:r>
                </w:p>
              </w:tc>
            </w:tr>
          </w:tbl>
          <w:p w:rsidR="00283C2F" w:rsidRPr="00283C2F" w:rsidRDefault="00283C2F" w:rsidP="00283C2F">
            <w:pPr>
              <w:spacing w:before="0" w:after="0" w:line="240" w:lineRule="auto"/>
              <w:rPr>
                <w:rFonts w:ascii="Times New Roman" w:hAnsi="Times New Roman"/>
                <w:lang w:val="en-GB" w:eastAsia="zh-CN"/>
              </w:rPr>
            </w:pPr>
          </w:p>
        </w:tc>
      </w:tr>
    </w:tbl>
    <w:p w:rsidR="00283C2F" w:rsidRPr="00283C2F" w:rsidRDefault="00283C2F">
      <w:pPr>
        <w:rPr>
          <w:lang w:val="en-GB" w:eastAsia="zh-CN"/>
        </w:rPr>
      </w:pPr>
    </w:p>
    <w:p w:rsidR="005B7448" w:rsidRPr="005B7448" w:rsidRDefault="005B7448" w:rsidP="001B4B4E">
      <w:pPr>
        <w:pStyle w:val="2"/>
        <w:rPr>
          <w:lang w:eastAsia="zh-CN"/>
        </w:rPr>
      </w:pPr>
      <w:r w:rsidRPr="005B7448">
        <w:rPr>
          <w:rFonts w:hint="eastAsia"/>
          <w:lang w:eastAsia="zh-CN"/>
        </w:rPr>
        <w:t>U</w:t>
      </w:r>
      <w:r w:rsidRPr="005B7448">
        <w:rPr>
          <w:lang w:eastAsia="zh-CN"/>
        </w:rPr>
        <w:t>L Tx switching for SUL</w:t>
      </w:r>
    </w:p>
    <w:p w:rsidR="005B7448" w:rsidRDefault="00283C2F">
      <w:pPr>
        <w:rPr>
          <w:lang w:val="en-GB" w:eastAsia="zh-CN"/>
        </w:rPr>
      </w:pPr>
      <w:r>
        <w:rPr>
          <w:lang w:val="en-GB" w:eastAsia="zh-CN"/>
        </w:rPr>
        <w:t xml:space="preserve">For legacy SUL without UL Tx switching, </w:t>
      </w:r>
      <w:r w:rsidRPr="00283C2F">
        <w:rPr>
          <w:lang w:val="en-GB" w:eastAsia="zh-CN"/>
        </w:rPr>
        <w:t>UE may be scheduled to transmit either on the supplementary uplink or on the uplink of the carrier being supplemented, but not on both at the same time</w:t>
      </w:r>
      <w:r>
        <w:rPr>
          <w:lang w:val="en-GB" w:eastAsia="zh-CN"/>
        </w:rPr>
        <w:t xml:space="preserve">. </w:t>
      </w:r>
    </w:p>
    <w:tbl>
      <w:tblPr>
        <w:tblStyle w:val="af9"/>
        <w:tblW w:w="0" w:type="auto"/>
        <w:tblLook w:val="04A0" w:firstRow="1" w:lastRow="0" w:firstColumn="1" w:lastColumn="0" w:noHBand="0" w:noVBand="1"/>
      </w:tblPr>
      <w:tblGrid>
        <w:gridCol w:w="9628"/>
      </w:tblGrid>
      <w:tr w:rsidR="00283C2F" w:rsidTr="00283C2F">
        <w:tc>
          <w:tcPr>
            <w:tcW w:w="9628" w:type="dxa"/>
          </w:tcPr>
          <w:p w:rsidR="00283C2F" w:rsidRPr="00283C2F" w:rsidRDefault="00283C2F" w:rsidP="00283C2F">
            <w:pPr>
              <w:pStyle w:val="3"/>
              <w:numPr>
                <w:ilvl w:val="0"/>
                <w:numId w:val="0"/>
              </w:numPr>
              <w:ind w:left="720" w:hanging="720"/>
              <w:outlineLvl w:val="2"/>
              <w:rPr>
                <w:b/>
                <w:bCs/>
                <w:sz w:val="21"/>
                <w:lang w:eastAsia="zh-CN"/>
              </w:rPr>
            </w:pPr>
            <w:r w:rsidRPr="00283C2F">
              <w:rPr>
                <w:b/>
                <w:bCs/>
                <w:sz w:val="21"/>
              </w:rPr>
              <w:lastRenderedPageBreak/>
              <w:t>TS 38.300 5.4.2</w:t>
            </w:r>
            <w:r w:rsidRPr="00283C2F">
              <w:rPr>
                <w:rFonts w:ascii="Calibri" w:eastAsia="MS Mincho" w:hAnsi="Calibri"/>
                <w:b/>
                <w:bCs/>
                <w:sz w:val="18"/>
                <w:szCs w:val="22"/>
              </w:rPr>
              <w:tab/>
              <w:t xml:space="preserve"> </w:t>
            </w:r>
            <w:r w:rsidRPr="00283C2F">
              <w:rPr>
                <w:b/>
                <w:bCs/>
                <w:sz w:val="21"/>
              </w:rPr>
              <w:t>Supplementary Uplink</w:t>
            </w:r>
          </w:p>
          <w:p w:rsidR="00283C2F" w:rsidRPr="00283C2F" w:rsidRDefault="00283C2F">
            <w:r>
              <w:t xml:space="preserve">In conjunction with a UL/DL carrier pair (FDD band) or a bidirectional carrier (TDD band), a UE may be configured with additional, Supplementary Uplink (SUL). SUL differs from the aggregated uplink in that the </w:t>
            </w:r>
            <w:r w:rsidRPr="00283C2F">
              <w:rPr>
                <w:highlight w:val="yellow"/>
              </w:rPr>
              <w:t>UE may be scheduled to transmit either on the supplementary uplink or on the uplink of the carrier being supplemented, but not on both at the same time.</w:t>
            </w:r>
          </w:p>
        </w:tc>
      </w:tr>
    </w:tbl>
    <w:p w:rsidR="00283C2F" w:rsidRDefault="00283C2F">
      <w:pPr>
        <w:rPr>
          <w:lang w:val="en-GB" w:eastAsia="zh-CN"/>
        </w:rPr>
      </w:pPr>
    </w:p>
    <w:p w:rsidR="00283C2F" w:rsidRDefault="00283C2F">
      <w:pPr>
        <w:rPr>
          <w:lang w:val="en-GB" w:eastAsia="zh-CN"/>
        </w:rPr>
      </w:pPr>
      <w:r>
        <w:rPr>
          <w:rFonts w:hint="eastAsia"/>
          <w:lang w:val="en-GB" w:eastAsia="zh-CN"/>
        </w:rPr>
        <w:t>H</w:t>
      </w:r>
      <w:r>
        <w:rPr>
          <w:lang w:val="en-GB" w:eastAsia="zh-CN"/>
        </w:rPr>
        <w:t xml:space="preserve">owever, there is one exceptional case for </w:t>
      </w:r>
      <w:proofErr w:type="spellStart"/>
      <w:r w:rsidRPr="00283C2F">
        <w:rPr>
          <w:lang w:val="en-GB" w:eastAsia="zh-CN"/>
        </w:rPr>
        <w:t>simultaneousTxSUL-NonSUL</w:t>
      </w:r>
      <w:proofErr w:type="spellEnd"/>
      <w:r w:rsidR="001B4B4E">
        <w:rPr>
          <w:lang w:val="en-GB" w:eastAsia="zh-CN"/>
        </w:rPr>
        <w:t xml:space="preserve">. </w:t>
      </w:r>
      <w:r w:rsidR="001B4B4E" w:rsidRPr="001B4B4E">
        <w:rPr>
          <w:lang w:val="en-GB" w:eastAsia="zh-CN"/>
        </w:rPr>
        <w:t>UE</w:t>
      </w:r>
      <w:r w:rsidR="001B4B4E">
        <w:rPr>
          <w:lang w:val="en-GB" w:eastAsia="zh-CN"/>
        </w:rPr>
        <w:t xml:space="preserve"> indicating this UE capability</w:t>
      </w:r>
      <w:r w:rsidR="001B4B4E" w:rsidRPr="001B4B4E">
        <w:rPr>
          <w:lang w:val="en-GB" w:eastAsia="zh-CN"/>
        </w:rPr>
        <w:t xml:space="preserve"> supports simultaneous transmission of SRS on </w:t>
      </w:r>
      <w:proofErr w:type="gramStart"/>
      <w:r w:rsidR="001B4B4E" w:rsidRPr="001B4B4E">
        <w:rPr>
          <w:lang w:val="en-GB" w:eastAsia="zh-CN"/>
        </w:rPr>
        <w:t>an</w:t>
      </w:r>
      <w:proofErr w:type="gramEnd"/>
      <w:r w:rsidR="001B4B4E" w:rsidRPr="001B4B4E">
        <w:rPr>
          <w:lang w:val="en-GB" w:eastAsia="zh-CN"/>
        </w:rPr>
        <w:t xml:space="preserve"> SUL/non-SUL carrier and PUSCH/PUCCH/SRS on the other UL carrier in the same cell</w:t>
      </w:r>
      <w:r w:rsidR="001B4B4E">
        <w:rPr>
          <w:lang w:val="en-GB"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83C2F" w:rsidTr="00283C2F">
        <w:trPr>
          <w:cantSplit/>
        </w:trPr>
        <w:tc>
          <w:tcPr>
            <w:tcW w:w="6917" w:type="dxa"/>
            <w:tcBorders>
              <w:top w:val="single" w:sz="4" w:space="0" w:color="808080"/>
              <w:left w:val="single" w:sz="4" w:space="0" w:color="808080"/>
              <w:bottom w:val="single" w:sz="4" w:space="0" w:color="808080"/>
              <w:right w:val="single" w:sz="4" w:space="0" w:color="808080"/>
            </w:tcBorders>
            <w:hideMark/>
          </w:tcPr>
          <w:p w:rsidR="00283C2F" w:rsidRDefault="00283C2F">
            <w:pPr>
              <w:pStyle w:val="TAL"/>
              <w:rPr>
                <w:b/>
                <w:i/>
                <w:lang w:eastAsia="zh-CN"/>
              </w:rPr>
            </w:pPr>
            <w:proofErr w:type="spellStart"/>
            <w:r>
              <w:rPr>
                <w:b/>
                <w:i/>
              </w:rPr>
              <w:t>simultaneousTxSUL-NonSUL</w:t>
            </w:r>
            <w:proofErr w:type="spellEnd"/>
          </w:p>
          <w:p w:rsidR="00283C2F" w:rsidRDefault="00283C2F">
            <w:pPr>
              <w:pStyle w:val="TAL"/>
            </w:pPr>
            <w:r>
              <w:t xml:space="preserve">Indicates whether the UE supports simultaneous transmission of SRS on </w:t>
            </w:r>
            <w:proofErr w:type="gramStart"/>
            <w:r>
              <w:t>an</w:t>
            </w:r>
            <w:proofErr w:type="gramEnd"/>
            <w:r>
              <w:t xml:space="preserve"> SUL/non-SUL carrier and PUSCH/PUCCH/SRS on the other UL carrier in the same cell. The UE supports simultaneous transmission on </w:t>
            </w:r>
            <w:proofErr w:type="gramStart"/>
            <w:r>
              <w:t>an</w:t>
            </w:r>
            <w:proofErr w:type="gramEnd"/>
            <w:r>
              <w:t xml:space="preserve"> SUL band X and a Non-SUL band Y if it sets this capability parameter for both band X and band Y.</w:t>
            </w:r>
          </w:p>
        </w:tc>
        <w:tc>
          <w:tcPr>
            <w:tcW w:w="709" w:type="dxa"/>
            <w:tcBorders>
              <w:top w:val="single" w:sz="4" w:space="0" w:color="808080"/>
              <w:left w:val="nil"/>
              <w:bottom w:val="single" w:sz="4" w:space="0" w:color="808080"/>
              <w:right w:val="single" w:sz="4" w:space="0" w:color="808080"/>
            </w:tcBorders>
            <w:hideMark/>
          </w:tcPr>
          <w:p w:rsidR="00283C2F" w:rsidRDefault="00283C2F">
            <w:pPr>
              <w:pStyle w:val="TAL"/>
              <w:jc w:val="center"/>
            </w:pPr>
            <w:r>
              <w:t>FS</w:t>
            </w:r>
          </w:p>
        </w:tc>
        <w:tc>
          <w:tcPr>
            <w:tcW w:w="567" w:type="dxa"/>
            <w:tcBorders>
              <w:top w:val="single" w:sz="4" w:space="0" w:color="808080"/>
              <w:left w:val="nil"/>
              <w:bottom w:val="single" w:sz="4" w:space="0" w:color="808080"/>
              <w:right w:val="single" w:sz="4" w:space="0" w:color="808080"/>
            </w:tcBorders>
            <w:hideMark/>
          </w:tcPr>
          <w:p w:rsidR="00283C2F" w:rsidRDefault="00283C2F">
            <w:pPr>
              <w:pStyle w:val="TAL"/>
              <w:jc w:val="center"/>
            </w:pPr>
            <w:r>
              <w:t>No</w:t>
            </w:r>
          </w:p>
        </w:tc>
        <w:tc>
          <w:tcPr>
            <w:tcW w:w="709" w:type="dxa"/>
            <w:tcBorders>
              <w:top w:val="single" w:sz="4" w:space="0" w:color="808080"/>
              <w:left w:val="nil"/>
              <w:bottom w:val="single" w:sz="4" w:space="0" w:color="808080"/>
              <w:right w:val="single" w:sz="4" w:space="0" w:color="808080"/>
            </w:tcBorders>
            <w:hideMark/>
          </w:tcPr>
          <w:p w:rsidR="00283C2F" w:rsidRDefault="00283C2F">
            <w:pPr>
              <w:pStyle w:val="TAL"/>
              <w:jc w:val="center"/>
            </w:pPr>
            <w:r>
              <w:t>N/A</w:t>
            </w:r>
          </w:p>
        </w:tc>
        <w:tc>
          <w:tcPr>
            <w:tcW w:w="728" w:type="dxa"/>
            <w:tcBorders>
              <w:top w:val="single" w:sz="4" w:space="0" w:color="808080"/>
              <w:left w:val="nil"/>
              <w:bottom w:val="single" w:sz="4" w:space="0" w:color="808080"/>
              <w:right w:val="single" w:sz="4" w:space="0" w:color="808080"/>
            </w:tcBorders>
            <w:hideMark/>
          </w:tcPr>
          <w:p w:rsidR="00283C2F" w:rsidRDefault="00283C2F">
            <w:pPr>
              <w:pStyle w:val="TAL"/>
              <w:jc w:val="center"/>
            </w:pPr>
            <w:r>
              <w:t>N/A</w:t>
            </w:r>
          </w:p>
        </w:tc>
      </w:tr>
    </w:tbl>
    <w:p w:rsidR="00283C2F" w:rsidRDefault="00283C2F">
      <w:pPr>
        <w:rPr>
          <w:lang w:val="en-GB" w:eastAsia="zh-CN"/>
        </w:rPr>
      </w:pPr>
    </w:p>
    <w:p w:rsidR="001B4B4E" w:rsidRDefault="001B4B4E">
      <w:pPr>
        <w:rPr>
          <w:lang w:val="en-GB" w:eastAsia="zh-CN"/>
        </w:rPr>
      </w:pPr>
      <w:r>
        <w:rPr>
          <w:rFonts w:hint="eastAsia"/>
          <w:lang w:val="en-GB" w:eastAsia="zh-CN"/>
        </w:rPr>
        <w:t>I</w:t>
      </w:r>
      <w:r>
        <w:rPr>
          <w:lang w:val="en-GB" w:eastAsia="zh-CN"/>
        </w:rPr>
        <w:t xml:space="preserve">n Rel-16, UE is allowed to perform UL Tx switching between two UL carriers from two UL bands. The same table as provided in section 2.1 for CA Option1 is reused for SUL, which means UE is not allowed to have “1P+1P” transmission on the two UL bands. </w:t>
      </w:r>
      <w:r w:rsidR="00DE5C00">
        <w:rPr>
          <w:lang w:val="en-GB" w:eastAsia="zh-CN"/>
        </w:rPr>
        <w:t>Taking the following table as an example, the UE is not allowed to have “1P+1P” transmission on the SUL#1 and NUL#2.</w:t>
      </w:r>
    </w:p>
    <w:p w:rsidR="001B4B4E" w:rsidRDefault="001B4B4E">
      <w:pPr>
        <w:rPr>
          <w:lang w:val="en-GB" w:eastAsia="zh-CN"/>
        </w:rPr>
      </w:pPr>
      <w:r>
        <w:rPr>
          <w:rFonts w:hint="eastAsia"/>
          <w:lang w:val="en-GB" w:eastAsia="zh-CN"/>
        </w:rPr>
        <w:t>I</w:t>
      </w:r>
      <w:r>
        <w:rPr>
          <w:lang w:val="en-GB" w:eastAsia="zh-CN"/>
        </w:rPr>
        <w:t xml:space="preserve">n Rel-17, UE is allowed to perform UL Tx switching between two UL bands with three UL carriers. </w:t>
      </w:r>
      <w:r w:rsidR="00DE5C00">
        <w:rPr>
          <w:lang w:val="en-GB" w:eastAsia="zh-CN"/>
        </w:rPr>
        <w:t>Taking the following table as an example, the UE is not allowed to have “1P+1P” transmission on the SUL#1 and NUL#2. Meanwhile, UE is not allowed to have “1P+1P” transmission on the SUL#1 and UL#3.</w:t>
      </w:r>
    </w:p>
    <w:tbl>
      <w:tblPr>
        <w:tblStyle w:val="af9"/>
        <w:tblW w:w="0" w:type="auto"/>
        <w:tblLook w:val="04A0" w:firstRow="1" w:lastRow="0" w:firstColumn="1" w:lastColumn="0" w:noHBand="0" w:noVBand="1"/>
      </w:tblPr>
      <w:tblGrid>
        <w:gridCol w:w="4814"/>
        <w:gridCol w:w="4814"/>
      </w:tblGrid>
      <w:tr w:rsidR="001B4B4E" w:rsidTr="001B4B4E">
        <w:tc>
          <w:tcPr>
            <w:tcW w:w="4814" w:type="dxa"/>
          </w:tcPr>
          <w:p w:rsidR="001B4B4E" w:rsidRDefault="001B4B4E" w:rsidP="00DE5C00">
            <w:pPr>
              <w:jc w:val="center"/>
              <w:rPr>
                <w:lang w:val="en-GB" w:eastAsia="zh-CN"/>
              </w:rPr>
            </w:pPr>
            <w:r>
              <w:rPr>
                <w:rFonts w:hint="eastAsia"/>
                <w:lang w:val="en-GB" w:eastAsia="zh-CN"/>
              </w:rPr>
              <w:t>R</w:t>
            </w:r>
            <w:r>
              <w:rPr>
                <w:lang w:val="en-GB" w:eastAsia="zh-CN"/>
              </w:rPr>
              <w:t>el-16 UL Tx switching for SUL</w:t>
            </w:r>
          </w:p>
        </w:tc>
        <w:tc>
          <w:tcPr>
            <w:tcW w:w="4814" w:type="dxa"/>
          </w:tcPr>
          <w:p w:rsidR="001B4B4E" w:rsidRDefault="001B4B4E" w:rsidP="00DE5C00">
            <w:pPr>
              <w:jc w:val="center"/>
              <w:rPr>
                <w:lang w:val="en-GB" w:eastAsia="zh-CN"/>
              </w:rPr>
            </w:pPr>
            <w:r>
              <w:rPr>
                <w:rFonts w:hint="eastAsia"/>
                <w:lang w:val="en-GB" w:eastAsia="zh-CN"/>
              </w:rPr>
              <w:t>R</w:t>
            </w:r>
            <w:r>
              <w:rPr>
                <w:lang w:val="en-GB" w:eastAsia="zh-CN"/>
              </w:rPr>
              <w:t>el-17 UL Tx switching for SUL</w:t>
            </w:r>
          </w:p>
        </w:tc>
      </w:tr>
      <w:tr w:rsidR="001B4B4E" w:rsidTr="001B4B4E">
        <w:tc>
          <w:tcPr>
            <w:tcW w:w="4814" w:type="dxa"/>
          </w:tcPr>
          <w:p w:rsidR="001B4B4E" w:rsidRDefault="00DE5C00" w:rsidP="00DE5C00">
            <w:pPr>
              <w:jc w:val="center"/>
              <w:rPr>
                <w:lang w:val="en-GB" w:eastAsia="zh-CN"/>
              </w:rPr>
            </w:pPr>
            <w:r>
              <w:rPr>
                <w:rFonts w:ascii="Times New Roman" w:hAnsi="Times New Roman"/>
              </w:rPr>
              <w:object w:dxaOrig="3436" w:dyaOrig="1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9pt;height:58.7pt" o:ole="">
                  <v:imagedata r:id="rId13" o:title=""/>
                </v:shape>
                <o:OLEObject Type="Embed" ProgID="Visio.Drawing.15" ShapeID="_x0000_i1025" DrawAspect="Content" ObjectID="_1729063390" r:id="rId14"/>
              </w:object>
            </w:r>
          </w:p>
        </w:tc>
        <w:tc>
          <w:tcPr>
            <w:tcW w:w="4814" w:type="dxa"/>
          </w:tcPr>
          <w:p w:rsidR="001B4B4E" w:rsidRDefault="00DE5C00" w:rsidP="00DE5C00">
            <w:pPr>
              <w:jc w:val="center"/>
              <w:rPr>
                <w:lang w:val="en-GB" w:eastAsia="zh-CN"/>
              </w:rPr>
            </w:pPr>
            <w:r>
              <w:rPr>
                <w:rFonts w:ascii="Times New Roman" w:hAnsi="Times New Roman"/>
              </w:rPr>
              <w:object w:dxaOrig="3661" w:dyaOrig="1740">
                <v:shape id="_x0000_i1026" type="#_x0000_t75" style="width:183.1pt;height:87pt" o:ole="">
                  <v:imagedata r:id="rId15" o:title=""/>
                </v:shape>
                <o:OLEObject Type="Embed" ProgID="Visio.Drawing.15" ShapeID="_x0000_i1026" DrawAspect="Content" ObjectID="_1729063391" r:id="rId16"/>
              </w:object>
            </w:r>
          </w:p>
        </w:tc>
      </w:tr>
    </w:tbl>
    <w:p w:rsidR="001B4B4E" w:rsidRDefault="001B4B4E">
      <w:pPr>
        <w:rPr>
          <w:lang w:val="en-GB" w:eastAsia="zh-CN"/>
        </w:rPr>
      </w:pPr>
    </w:p>
    <w:p w:rsidR="00DE5C00" w:rsidRDefault="00DE5C00">
      <w:pPr>
        <w:rPr>
          <w:lang w:val="en-GB" w:eastAsia="zh-CN"/>
        </w:rPr>
      </w:pPr>
      <w:r>
        <w:rPr>
          <w:rFonts w:hint="eastAsia"/>
          <w:lang w:val="en-GB" w:eastAsia="zh-CN"/>
        </w:rPr>
        <w:t>T</w:t>
      </w:r>
      <w:r>
        <w:rPr>
          <w:lang w:val="en-GB" w:eastAsia="zh-CN"/>
        </w:rPr>
        <w:t>he above can also be confirmed by the following agreements for SUL.</w:t>
      </w:r>
    </w:p>
    <w:tbl>
      <w:tblPr>
        <w:tblStyle w:val="af9"/>
        <w:tblW w:w="0" w:type="auto"/>
        <w:tblLook w:val="04A0" w:firstRow="1" w:lastRow="0" w:firstColumn="1" w:lastColumn="0" w:noHBand="0" w:noVBand="1"/>
      </w:tblPr>
      <w:tblGrid>
        <w:gridCol w:w="9628"/>
      </w:tblGrid>
      <w:tr w:rsidR="00DE5C00" w:rsidRPr="00DE5C00" w:rsidTr="00DE5C00">
        <w:tc>
          <w:tcPr>
            <w:tcW w:w="9628" w:type="dxa"/>
          </w:tcPr>
          <w:p w:rsidR="00DE5C00" w:rsidRPr="00DE5C00" w:rsidRDefault="00DE5C00" w:rsidP="00DE5C00">
            <w:pPr>
              <w:spacing w:before="0" w:after="0" w:line="240" w:lineRule="auto"/>
              <w:rPr>
                <w:highlight w:val="green"/>
              </w:rPr>
            </w:pPr>
            <w:r w:rsidRPr="00DE5C00">
              <w:rPr>
                <w:highlight w:val="green"/>
              </w:rPr>
              <w:t>Agreements:</w:t>
            </w:r>
          </w:p>
          <w:p w:rsidR="00DE5C00" w:rsidRPr="00DE5C00" w:rsidRDefault="00DE5C00" w:rsidP="00DE5C00">
            <w:pPr>
              <w:spacing w:before="0" w:after="0" w:line="240" w:lineRule="auto"/>
            </w:pPr>
            <w:r w:rsidRPr="00DE5C00">
              <w:t>For Rel-17 2Tx-2Tx switching between two uplink carriers, the mapping between UL transmission ports and Tx chain for SUL and UL CA Option 1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DE5C00" w:rsidRPr="00DE5C00" w:rsidTr="00DC1248">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c"/>
                    <w:spacing w:after="0"/>
                    <w:jc w:val="center"/>
                    <w:rPr>
                      <w:sz w:val="20"/>
                      <w:szCs w:val="20"/>
                    </w:rPr>
                  </w:pPr>
                  <w:r w:rsidRPr="00DE5C00">
                    <w:rPr>
                      <w:sz w:val="20"/>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c"/>
                    <w:spacing w:after="0"/>
                    <w:jc w:val="center"/>
                    <w:rPr>
                      <w:sz w:val="20"/>
                      <w:szCs w:val="20"/>
                    </w:rPr>
                  </w:pPr>
                  <w:r w:rsidRPr="00DE5C00">
                    <w:rPr>
                      <w:sz w:val="20"/>
                      <w:szCs w:val="20"/>
                    </w:rPr>
                    <w:t xml:space="preserve">Number of </w:t>
                  </w:r>
                  <w:r w:rsidRPr="00DE5C00">
                    <w:rPr>
                      <w:rStyle w:val="afa"/>
                      <w:sz w:val="20"/>
                      <w:szCs w:val="20"/>
                    </w:rPr>
                    <w:t xml:space="preserve">Tx chains </w:t>
                  </w:r>
                  <w:r w:rsidRPr="00DE5C00">
                    <w:rPr>
                      <w:sz w:val="20"/>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c"/>
                    <w:spacing w:after="0"/>
                    <w:jc w:val="center"/>
                    <w:rPr>
                      <w:sz w:val="20"/>
                      <w:szCs w:val="20"/>
                    </w:rPr>
                  </w:pPr>
                  <w:r w:rsidRPr="00DE5C00">
                    <w:rPr>
                      <w:sz w:val="20"/>
                      <w:szCs w:val="20"/>
                    </w:rPr>
                    <w:t xml:space="preserve">Number of </w:t>
                  </w:r>
                  <w:r w:rsidRPr="00DE5C00">
                    <w:rPr>
                      <w:rStyle w:val="afa"/>
                      <w:sz w:val="20"/>
                      <w:szCs w:val="20"/>
                    </w:rPr>
                    <w:t xml:space="preserve">antenna ports </w:t>
                  </w:r>
                  <w:r w:rsidRPr="00DE5C00">
                    <w:rPr>
                      <w:sz w:val="20"/>
                      <w:szCs w:val="20"/>
                    </w:rPr>
                    <w:t>for UL transmission (carrier 1 + carrier 2)</w:t>
                  </w:r>
                </w:p>
              </w:tc>
            </w:tr>
            <w:tr w:rsidR="00DE5C00" w:rsidRPr="00DE5C00" w:rsidTr="00DC1248">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0P+2P, 0P+1P</w:t>
                  </w:r>
                </w:p>
              </w:tc>
            </w:tr>
            <w:tr w:rsidR="00DE5C00" w:rsidRPr="00DE5C00" w:rsidTr="00DC1248">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2P+0P, 1P+0P</w:t>
                  </w:r>
                </w:p>
              </w:tc>
            </w:tr>
          </w:tbl>
          <w:p w:rsidR="00DE5C00" w:rsidRPr="00DE5C00" w:rsidRDefault="00DE5C00" w:rsidP="00DE5C00">
            <w:pPr>
              <w:spacing w:before="0" w:after="0" w:line="240" w:lineRule="auto"/>
              <w:rPr>
                <w:lang w:val="en-GB" w:eastAsia="zh-CN"/>
              </w:rPr>
            </w:pPr>
          </w:p>
          <w:p w:rsidR="00DE5C00" w:rsidRPr="00DE5C00" w:rsidRDefault="00DE5C00" w:rsidP="00DE5C00">
            <w:pPr>
              <w:spacing w:before="0" w:after="0" w:line="240" w:lineRule="auto"/>
              <w:rPr>
                <w:highlight w:val="green"/>
              </w:rPr>
            </w:pPr>
            <w:r w:rsidRPr="00DE5C00">
              <w:rPr>
                <w:highlight w:val="green"/>
              </w:rPr>
              <w:t>Agreement:</w:t>
            </w:r>
          </w:p>
          <w:p w:rsidR="00DE5C00" w:rsidRPr="00DE5C00" w:rsidRDefault="00DE5C00" w:rsidP="00DE5C00">
            <w:pPr>
              <w:spacing w:before="0" w:after="0" w:line="240" w:lineRule="auto"/>
            </w:pPr>
            <w:r w:rsidRPr="00DE5C00">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DE5C00" w:rsidRPr="00DE5C00" w:rsidTr="00DC1248">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lang w:val="en-GB"/>
                    </w:rPr>
                    <w:t xml:space="preserve">Number of </w:t>
                  </w:r>
                  <w:r w:rsidRPr="00DE5C00">
                    <w:rPr>
                      <w:b/>
                      <w:bCs/>
                      <w:color w:val="000000"/>
                      <w:sz w:val="20"/>
                      <w:szCs w:val="20"/>
                      <w:lang w:val="en-GB"/>
                    </w:rPr>
                    <w:t>Tx chains</w:t>
                  </w:r>
                  <w:r w:rsidRPr="00DE5C00">
                    <w:rPr>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lang w:val="en-GB"/>
                    </w:rPr>
                    <w:t xml:space="preserve">Number of </w:t>
                  </w:r>
                  <w:r w:rsidRPr="00DE5C00">
                    <w:rPr>
                      <w:b/>
                      <w:bCs/>
                      <w:color w:val="000000"/>
                      <w:sz w:val="20"/>
                      <w:szCs w:val="20"/>
                      <w:lang w:val="en-GB"/>
                    </w:rPr>
                    <w:t>antenna ports</w:t>
                  </w:r>
                  <w:r w:rsidRPr="00DE5C00">
                    <w:rPr>
                      <w:color w:val="000000"/>
                      <w:sz w:val="20"/>
                      <w:szCs w:val="20"/>
                      <w:lang w:val="en-GB"/>
                    </w:rPr>
                    <w:t xml:space="preserve"> for UL transmission (band A (carrier 1) + band B (carrier 2 + carrier 3))</w:t>
                  </w:r>
                </w:p>
              </w:tc>
            </w:tr>
            <w:tr w:rsidR="00DE5C00" w:rsidRPr="00DE5C00" w:rsidTr="00DC1248">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lastRenderedPageBreak/>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1P+(0P+0P)</w:t>
                  </w:r>
                </w:p>
              </w:tc>
            </w:tr>
            <w:tr w:rsidR="00DE5C00" w:rsidRPr="00DE5C00" w:rsidTr="00DC1248">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 xml:space="preserve">0P+(2P+0P), 0P+(0P+2P), 0P+(2P+2P), 0P+(1P+0P), 0P+(0P+1P), 0P+(1P+1P), 0P+(1P+2P), 0P+(2P+1P) </w:t>
                  </w:r>
                </w:p>
              </w:tc>
            </w:tr>
          </w:tbl>
          <w:p w:rsidR="00DE5C00" w:rsidRPr="00DE5C00" w:rsidRDefault="00DE5C00" w:rsidP="00DE5C00">
            <w:pPr>
              <w:spacing w:before="0" w:after="0" w:line="240" w:lineRule="auto"/>
              <w:rPr>
                <w:lang w:eastAsia="zh-CN"/>
              </w:rPr>
            </w:pPr>
          </w:p>
          <w:p w:rsidR="00DE5C00" w:rsidRPr="00DE5C00" w:rsidRDefault="00DE5C00" w:rsidP="00DE5C00">
            <w:pPr>
              <w:spacing w:before="0" w:after="0" w:line="240" w:lineRule="auto"/>
              <w:rPr>
                <w:highlight w:val="green"/>
              </w:rPr>
            </w:pPr>
            <w:r w:rsidRPr="00DE5C00">
              <w:rPr>
                <w:highlight w:val="green"/>
              </w:rPr>
              <w:t>Agreement:</w:t>
            </w:r>
          </w:p>
          <w:p w:rsidR="00DE5C00" w:rsidRPr="00DE5C00" w:rsidRDefault="00DE5C00" w:rsidP="00DE5C00">
            <w:pPr>
              <w:spacing w:before="0" w:after="0" w:line="240" w:lineRule="auto"/>
            </w:pPr>
            <w:r w:rsidRPr="00DE5C00">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DE5C00" w:rsidRPr="00DE5C00" w:rsidTr="00DC1248">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lang w:val="en-GB"/>
                    </w:rPr>
                    <w:t xml:space="preserve">Number of </w:t>
                  </w:r>
                  <w:r w:rsidRPr="00DE5C00">
                    <w:rPr>
                      <w:b/>
                      <w:bCs/>
                      <w:color w:val="000000"/>
                      <w:sz w:val="20"/>
                      <w:szCs w:val="20"/>
                      <w:lang w:val="en-GB"/>
                    </w:rPr>
                    <w:t>Tx chains</w:t>
                  </w:r>
                  <w:r w:rsidRPr="00DE5C00">
                    <w:rPr>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lang w:val="en-GB"/>
                    </w:rPr>
                    <w:t xml:space="preserve">Number of </w:t>
                  </w:r>
                  <w:r w:rsidRPr="00DE5C00">
                    <w:rPr>
                      <w:b/>
                      <w:bCs/>
                      <w:color w:val="000000"/>
                      <w:sz w:val="20"/>
                      <w:szCs w:val="20"/>
                      <w:lang w:val="en-GB"/>
                    </w:rPr>
                    <w:t>antenna ports</w:t>
                  </w:r>
                  <w:r w:rsidRPr="00DE5C00">
                    <w:rPr>
                      <w:color w:val="000000"/>
                      <w:sz w:val="20"/>
                      <w:szCs w:val="20"/>
                      <w:lang w:val="en-GB"/>
                    </w:rPr>
                    <w:t xml:space="preserve"> for UL transmission (band A (carrier 1) + band B (carrier 2 + carrier 3))</w:t>
                  </w:r>
                </w:p>
              </w:tc>
            </w:tr>
            <w:tr w:rsidR="00DE5C00" w:rsidRPr="00DE5C00" w:rsidTr="00DC1248">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0P+(2P+0P), 0P+(0P+2P), 0P+(2P+2P), 0P+(1P+0P), 0P+(0P+1P), 0P+(1P+1P), 0P+(1P+2P), 0P+(2P+1P)</w:t>
                  </w:r>
                </w:p>
              </w:tc>
            </w:tr>
            <w:tr w:rsidR="00DE5C00" w:rsidRPr="00DE5C00" w:rsidTr="00DC1248">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5C00" w:rsidRPr="00DE5C00" w:rsidRDefault="00DE5C00" w:rsidP="00DE5C00">
                  <w:pPr>
                    <w:pStyle w:val="af7"/>
                    <w:spacing w:before="0" w:beforeAutospacing="0" w:after="0" w:afterAutospacing="0"/>
                    <w:jc w:val="center"/>
                    <w:rPr>
                      <w:sz w:val="20"/>
                      <w:szCs w:val="20"/>
                    </w:rPr>
                  </w:pPr>
                  <w:r w:rsidRPr="00DE5C00">
                    <w:rPr>
                      <w:color w:val="000000"/>
                      <w:sz w:val="20"/>
                      <w:szCs w:val="20"/>
                    </w:rPr>
                    <w:t>2P+(0P+0P), 1P+(0P+0P)</w:t>
                  </w:r>
                </w:p>
              </w:tc>
            </w:tr>
          </w:tbl>
          <w:p w:rsidR="00DE5C00" w:rsidRPr="00DE5C00" w:rsidRDefault="00DE5C00" w:rsidP="00DE5C00">
            <w:pPr>
              <w:spacing w:before="0" w:after="0" w:line="240" w:lineRule="auto"/>
              <w:rPr>
                <w:lang w:eastAsia="zh-CN"/>
              </w:rPr>
            </w:pPr>
          </w:p>
        </w:tc>
      </w:tr>
    </w:tbl>
    <w:p w:rsidR="00DE5C00" w:rsidRDefault="00DE5C00">
      <w:pPr>
        <w:rPr>
          <w:lang w:val="en-GB" w:eastAsia="zh-CN"/>
        </w:rPr>
      </w:pPr>
    </w:p>
    <w:p w:rsidR="00DE5C00" w:rsidRDefault="00DE5C00">
      <w:pPr>
        <w:rPr>
          <w:lang w:val="en-GB" w:eastAsia="zh-CN"/>
        </w:rPr>
      </w:pPr>
      <w:r>
        <w:rPr>
          <w:lang w:val="en-GB" w:eastAsia="zh-CN"/>
        </w:rPr>
        <w:t xml:space="preserve">RAN1 has never discussed or defined any UE behaviour for simultaneous transmission on SUL band and non-SUL band for UE configured with UL Tx switching for SUL. If companies prefer to introduce simultaneous transmission on SUL band and non-SUL band for UE configured with UL Tx switching for SUL, then new UE behaviour has to be discussed and introduced. Otherwise, clarification in the specification needs to be introduced to fix this bug. </w:t>
      </w:r>
    </w:p>
    <w:p w:rsidR="00DE5C00" w:rsidRDefault="00DE5C00">
      <w:pPr>
        <w:rPr>
          <w:lang w:val="en-GB" w:eastAsia="zh-CN"/>
        </w:rPr>
      </w:pPr>
      <w:r>
        <w:rPr>
          <w:lang w:val="en-GB" w:eastAsia="zh-CN"/>
        </w:rPr>
        <w:t>Thus, we have the following observation.</w:t>
      </w:r>
    </w:p>
    <w:p w:rsidR="00DE5C00" w:rsidRPr="00760853" w:rsidRDefault="00DE5C00">
      <w:pPr>
        <w:rPr>
          <w:i/>
          <w:lang w:val="en-GB" w:eastAsia="zh-CN"/>
        </w:rPr>
      </w:pPr>
      <w:r w:rsidRPr="00760853">
        <w:rPr>
          <w:rFonts w:hint="eastAsia"/>
          <w:b/>
          <w:i/>
          <w:lang w:val="en-GB" w:eastAsia="zh-CN"/>
        </w:rPr>
        <w:t>O</w:t>
      </w:r>
      <w:r w:rsidRPr="00760853">
        <w:rPr>
          <w:b/>
          <w:i/>
          <w:lang w:val="en-GB" w:eastAsia="zh-CN"/>
        </w:rPr>
        <w:t>bservation</w:t>
      </w:r>
      <w:r w:rsidR="00760853">
        <w:rPr>
          <w:b/>
          <w:i/>
          <w:lang w:val="en-GB" w:eastAsia="zh-CN"/>
        </w:rPr>
        <w:t xml:space="preserve"> 1</w:t>
      </w:r>
      <w:r w:rsidRPr="00760853">
        <w:rPr>
          <w:i/>
          <w:lang w:val="en-GB" w:eastAsia="zh-CN"/>
        </w:rPr>
        <w:t>:</w:t>
      </w:r>
      <w:r w:rsidRPr="00760853">
        <w:rPr>
          <w:rFonts w:hint="eastAsia"/>
          <w:i/>
          <w:lang w:val="en-GB" w:eastAsia="zh-CN"/>
        </w:rPr>
        <w:t xml:space="preserve"> </w:t>
      </w:r>
      <w:r w:rsidRPr="00760853">
        <w:rPr>
          <w:i/>
          <w:lang w:val="en-GB" w:eastAsia="zh-CN"/>
        </w:rPr>
        <w:t xml:space="preserve">The followings </w:t>
      </w:r>
      <w:r w:rsidR="00CC2402">
        <w:rPr>
          <w:i/>
          <w:lang w:val="en-GB" w:eastAsia="zh-CN"/>
        </w:rPr>
        <w:t xml:space="preserve">for UL Tx switching for SUL </w:t>
      </w:r>
      <w:r w:rsidRPr="00760853">
        <w:rPr>
          <w:i/>
          <w:lang w:val="en-GB" w:eastAsia="zh-CN"/>
        </w:rPr>
        <w:t>are missing in the Rel-16/17 specification.</w:t>
      </w:r>
    </w:p>
    <w:p w:rsidR="00DE5C00" w:rsidRPr="00760853" w:rsidRDefault="00DE5C00" w:rsidP="00DE5C00">
      <w:pPr>
        <w:pStyle w:val="a"/>
        <w:numPr>
          <w:ilvl w:val="0"/>
          <w:numId w:val="36"/>
        </w:numPr>
        <w:rPr>
          <w:i/>
          <w:lang w:eastAsia="zh-CN"/>
        </w:rPr>
      </w:pPr>
      <w:r w:rsidRPr="00760853">
        <w:rPr>
          <w:rFonts w:eastAsiaTheme="minorEastAsia" w:hint="eastAsia"/>
          <w:i/>
          <w:lang w:eastAsia="zh-CN"/>
        </w:rPr>
        <w:t>F</w:t>
      </w:r>
      <w:r w:rsidRPr="00760853">
        <w:rPr>
          <w:rFonts w:eastAsiaTheme="minorEastAsia"/>
          <w:i/>
          <w:lang w:eastAsia="zh-CN"/>
        </w:rPr>
        <w:t>or UE configured with Rel-16</w:t>
      </w:r>
      <w:r w:rsidR="00760853" w:rsidRPr="00760853">
        <w:rPr>
          <w:rFonts w:eastAsiaTheme="minorEastAsia"/>
          <w:i/>
          <w:lang w:eastAsia="zh-CN"/>
        </w:rPr>
        <w:t>/Rel-17</w:t>
      </w:r>
      <w:r w:rsidRPr="00760853">
        <w:rPr>
          <w:rFonts w:eastAsiaTheme="minorEastAsia"/>
          <w:i/>
          <w:lang w:eastAsia="zh-CN"/>
        </w:rPr>
        <w:t xml:space="preserve"> UL Tx switching for SUL, UE is not allowed to perform “1P+1P” (i.e., simultaneous transmissions) on SUL</w:t>
      </w:r>
      <w:r w:rsidR="00760853" w:rsidRPr="00760853">
        <w:rPr>
          <w:rFonts w:eastAsiaTheme="minorEastAsia"/>
          <w:i/>
          <w:lang w:eastAsia="zh-CN"/>
        </w:rPr>
        <w:t xml:space="preserve"> (i.e., SUL#1 in the following table)</w:t>
      </w:r>
      <w:r w:rsidRPr="00760853">
        <w:rPr>
          <w:rFonts w:eastAsiaTheme="minorEastAsia"/>
          <w:i/>
          <w:lang w:eastAsia="zh-CN"/>
        </w:rPr>
        <w:t xml:space="preserve"> and its corresponding NUL</w:t>
      </w:r>
      <w:r w:rsidR="00760853" w:rsidRPr="00760853">
        <w:rPr>
          <w:rFonts w:eastAsiaTheme="minorEastAsia"/>
          <w:i/>
          <w:lang w:eastAsia="zh-CN"/>
        </w:rPr>
        <w:t xml:space="preserve"> (i.e., NUL#2 in the following table)</w:t>
      </w:r>
      <w:r w:rsidRPr="00760853">
        <w:rPr>
          <w:rFonts w:eastAsiaTheme="minorEastAsia"/>
          <w:i/>
          <w:lang w:eastAsia="zh-CN"/>
        </w:rPr>
        <w:t xml:space="preserve"> even if UE indicates support of </w:t>
      </w:r>
      <w:proofErr w:type="spellStart"/>
      <w:r w:rsidR="00760853" w:rsidRPr="00760853">
        <w:rPr>
          <w:rFonts w:eastAsiaTheme="minorEastAsia"/>
          <w:i/>
          <w:lang w:eastAsia="zh-CN"/>
        </w:rPr>
        <w:t>simultaneousTxSUL-NonSUL</w:t>
      </w:r>
      <w:proofErr w:type="spellEnd"/>
      <w:r w:rsidR="00760853" w:rsidRPr="00760853">
        <w:rPr>
          <w:rFonts w:eastAsiaTheme="minorEastAsia"/>
          <w:i/>
          <w:lang w:eastAsia="zh-CN"/>
        </w:rPr>
        <w:t>.</w:t>
      </w:r>
    </w:p>
    <w:p w:rsidR="00760853" w:rsidRPr="00760853" w:rsidRDefault="00760853" w:rsidP="00DE5C00">
      <w:pPr>
        <w:pStyle w:val="a"/>
        <w:numPr>
          <w:ilvl w:val="0"/>
          <w:numId w:val="36"/>
        </w:numPr>
        <w:rPr>
          <w:i/>
          <w:lang w:eastAsia="zh-CN"/>
        </w:rPr>
      </w:pPr>
      <w:r w:rsidRPr="00760853">
        <w:rPr>
          <w:rFonts w:eastAsiaTheme="minorEastAsia" w:hint="eastAsia"/>
          <w:i/>
          <w:lang w:eastAsia="zh-CN"/>
        </w:rPr>
        <w:t>F</w:t>
      </w:r>
      <w:r w:rsidRPr="00760853">
        <w:rPr>
          <w:rFonts w:eastAsiaTheme="minorEastAsia"/>
          <w:i/>
          <w:lang w:eastAsia="zh-CN"/>
        </w:rPr>
        <w:t>or UE configured with Rel-17 UL Tx switching for SUL, UE is not allowed to perform “1P+1P” (i.e., simultaneous transmissions) on SUL (i.e., SUL#1 in the following table) and the non-corresponding NUL (i.e., UL#3 in the following table).</w:t>
      </w:r>
    </w:p>
    <w:tbl>
      <w:tblPr>
        <w:tblStyle w:val="af9"/>
        <w:tblW w:w="0" w:type="auto"/>
        <w:tblLook w:val="04A0" w:firstRow="1" w:lastRow="0" w:firstColumn="1" w:lastColumn="0" w:noHBand="0" w:noVBand="1"/>
      </w:tblPr>
      <w:tblGrid>
        <w:gridCol w:w="4814"/>
        <w:gridCol w:w="4814"/>
      </w:tblGrid>
      <w:tr w:rsidR="00760853" w:rsidTr="00CC2402">
        <w:tc>
          <w:tcPr>
            <w:tcW w:w="4814" w:type="dxa"/>
            <w:shd w:val="clear" w:color="auto" w:fill="5B9BD5" w:themeFill="accent1"/>
          </w:tcPr>
          <w:p w:rsidR="00760853" w:rsidRDefault="00760853" w:rsidP="00CC2402">
            <w:pPr>
              <w:spacing w:before="0" w:after="0" w:line="240" w:lineRule="auto"/>
              <w:jc w:val="center"/>
              <w:rPr>
                <w:lang w:val="en-GB" w:eastAsia="zh-CN"/>
              </w:rPr>
            </w:pPr>
            <w:r>
              <w:rPr>
                <w:rFonts w:hint="eastAsia"/>
                <w:lang w:val="en-GB" w:eastAsia="zh-CN"/>
              </w:rPr>
              <w:t>R</w:t>
            </w:r>
            <w:r>
              <w:rPr>
                <w:lang w:val="en-GB" w:eastAsia="zh-CN"/>
              </w:rPr>
              <w:t>el-16 UL Tx switching for SUL</w:t>
            </w:r>
          </w:p>
        </w:tc>
        <w:tc>
          <w:tcPr>
            <w:tcW w:w="4814" w:type="dxa"/>
            <w:shd w:val="clear" w:color="auto" w:fill="5B9BD5" w:themeFill="accent1"/>
          </w:tcPr>
          <w:p w:rsidR="00760853" w:rsidRDefault="00760853" w:rsidP="00CC2402">
            <w:pPr>
              <w:spacing w:before="0" w:after="0" w:line="240" w:lineRule="auto"/>
              <w:jc w:val="center"/>
              <w:rPr>
                <w:lang w:val="en-GB" w:eastAsia="zh-CN"/>
              </w:rPr>
            </w:pPr>
            <w:r>
              <w:rPr>
                <w:rFonts w:hint="eastAsia"/>
                <w:lang w:val="en-GB" w:eastAsia="zh-CN"/>
              </w:rPr>
              <w:t>R</w:t>
            </w:r>
            <w:r>
              <w:rPr>
                <w:lang w:val="en-GB" w:eastAsia="zh-CN"/>
              </w:rPr>
              <w:t>el-17 UL Tx switching for SUL</w:t>
            </w:r>
          </w:p>
        </w:tc>
      </w:tr>
      <w:tr w:rsidR="00760853" w:rsidTr="00DC1248">
        <w:tc>
          <w:tcPr>
            <w:tcW w:w="4814" w:type="dxa"/>
          </w:tcPr>
          <w:p w:rsidR="00760853" w:rsidRDefault="00760853" w:rsidP="00CC2402">
            <w:pPr>
              <w:spacing w:before="0" w:after="0" w:line="240" w:lineRule="auto"/>
              <w:jc w:val="center"/>
              <w:rPr>
                <w:lang w:val="en-GB" w:eastAsia="zh-CN"/>
              </w:rPr>
            </w:pPr>
            <w:r>
              <w:rPr>
                <w:rFonts w:ascii="Times New Roman" w:hAnsi="Times New Roman"/>
              </w:rPr>
              <w:object w:dxaOrig="3436" w:dyaOrig="1171">
                <v:shape id="_x0000_i1027" type="#_x0000_t75" style="width:171.9pt;height:58.7pt" o:ole="">
                  <v:imagedata r:id="rId13" o:title=""/>
                </v:shape>
                <o:OLEObject Type="Embed" ProgID="Visio.Drawing.15" ShapeID="_x0000_i1027" DrawAspect="Content" ObjectID="_1729063392" r:id="rId17"/>
              </w:object>
            </w:r>
          </w:p>
        </w:tc>
        <w:tc>
          <w:tcPr>
            <w:tcW w:w="4814" w:type="dxa"/>
          </w:tcPr>
          <w:p w:rsidR="00760853" w:rsidRDefault="00760853" w:rsidP="00CC2402">
            <w:pPr>
              <w:spacing w:before="0" w:after="0" w:line="240" w:lineRule="auto"/>
              <w:jc w:val="center"/>
              <w:rPr>
                <w:lang w:val="en-GB" w:eastAsia="zh-CN"/>
              </w:rPr>
            </w:pPr>
            <w:r>
              <w:rPr>
                <w:rFonts w:ascii="Times New Roman" w:hAnsi="Times New Roman"/>
              </w:rPr>
              <w:object w:dxaOrig="3661" w:dyaOrig="1740">
                <v:shape id="_x0000_i1028" type="#_x0000_t75" style="width:183.1pt;height:87pt" o:ole="">
                  <v:imagedata r:id="rId15" o:title=""/>
                </v:shape>
                <o:OLEObject Type="Embed" ProgID="Visio.Drawing.15" ShapeID="_x0000_i1028" DrawAspect="Content" ObjectID="_1729063393" r:id="rId18"/>
              </w:object>
            </w:r>
          </w:p>
        </w:tc>
      </w:tr>
    </w:tbl>
    <w:p w:rsidR="00760853" w:rsidRPr="00DE5C00" w:rsidRDefault="00760853" w:rsidP="00760853">
      <w:pPr>
        <w:rPr>
          <w:lang w:eastAsia="zh-CN"/>
        </w:rPr>
      </w:pPr>
    </w:p>
    <w:p w:rsidR="001B4B4E" w:rsidRDefault="00760853" w:rsidP="00760853">
      <w:pPr>
        <w:pStyle w:val="2"/>
        <w:rPr>
          <w:lang w:eastAsia="zh-CN"/>
        </w:rPr>
      </w:pPr>
      <w:r>
        <w:rPr>
          <w:rFonts w:hint="eastAsia"/>
          <w:lang w:eastAsia="zh-CN"/>
        </w:rPr>
        <w:t>D</w:t>
      </w:r>
      <w:r>
        <w:rPr>
          <w:lang w:eastAsia="zh-CN"/>
        </w:rPr>
        <w:t>raft TP</w:t>
      </w:r>
    </w:p>
    <w:p w:rsidR="00760853" w:rsidRDefault="006B478D">
      <w:pPr>
        <w:rPr>
          <w:lang w:val="en-GB" w:eastAsia="zh-CN"/>
        </w:rPr>
      </w:pPr>
      <w:r>
        <w:rPr>
          <w:rFonts w:hint="eastAsia"/>
          <w:lang w:val="en-GB" w:eastAsia="zh-CN"/>
        </w:rPr>
        <w:t>T</w:t>
      </w:r>
      <w:r>
        <w:rPr>
          <w:lang w:val="en-GB" w:eastAsia="zh-CN"/>
        </w:rPr>
        <w:t>o accommodate the missing parts for both SUL and CA for both Rel-16 and Rel-17, the following TP is proposed. Note that the following TP avoids using the “uplink carrier” or “intra-band uplink carrier” to avoid repeating the same discussion as in last RAN1 meeting. The current TP is introduced in section 6.1.6 and basically follows the same wording as existing specification.</w:t>
      </w:r>
    </w:p>
    <w:p w:rsidR="006B478D" w:rsidRPr="00CC2402" w:rsidRDefault="006B478D">
      <w:pPr>
        <w:rPr>
          <w:i/>
          <w:lang w:val="en-GB" w:eastAsia="zh-CN"/>
        </w:rPr>
      </w:pPr>
      <w:r w:rsidRPr="00CC2402">
        <w:rPr>
          <w:rFonts w:hint="eastAsia"/>
          <w:b/>
          <w:i/>
          <w:lang w:val="en-GB" w:eastAsia="zh-CN"/>
        </w:rPr>
        <w:t>P</w:t>
      </w:r>
      <w:r w:rsidRPr="00CC2402">
        <w:rPr>
          <w:b/>
          <w:i/>
          <w:lang w:val="en-GB" w:eastAsia="zh-CN"/>
        </w:rPr>
        <w:t>roposal</w:t>
      </w:r>
      <w:r w:rsidR="00CC2402" w:rsidRPr="00CC2402">
        <w:rPr>
          <w:b/>
          <w:i/>
          <w:lang w:val="en-GB" w:eastAsia="zh-CN"/>
        </w:rPr>
        <w:t xml:space="preserve"> 1</w:t>
      </w:r>
      <w:r w:rsidRPr="00CC2402">
        <w:rPr>
          <w:i/>
          <w:lang w:val="en-GB" w:eastAsia="zh-CN"/>
        </w:rPr>
        <w:t>: RAN1 adopts the following TP for Rel-16 and Rel-17 UL Tx switching in TS38.214.</w:t>
      </w:r>
    </w:p>
    <w:p w:rsidR="00CC2402" w:rsidRPr="00CC2402" w:rsidRDefault="006B478D" w:rsidP="00CC2402">
      <w:pPr>
        <w:rPr>
          <w:b/>
          <w:u w:val="single"/>
          <w:lang w:val="en-GB" w:eastAsia="zh-CN"/>
        </w:rPr>
      </w:pPr>
      <w:r w:rsidRPr="00CC2402">
        <w:rPr>
          <w:rFonts w:hint="eastAsia"/>
          <w:b/>
          <w:u w:val="single"/>
          <w:lang w:val="en-GB" w:eastAsia="zh-CN"/>
        </w:rPr>
        <w:t>R</w:t>
      </w:r>
      <w:r w:rsidRPr="00CC2402">
        <w:rPr>
          <w:b/>
          <w:u w:val="single"/>
          <w:lang w:val="en-GB" w:eastAsia="zh-CN"/>
        </w:rPr>
        <w:t>eason for change:</w:t>
      </w:r>
      <w:r w:rsidR="00CC2402" w:rsidRPr="00CC2402">
        <w:rPr>
          <w:b/>
          <w:u w:val="single"/>
          <w:lang w:val="en-GB" w:eastAsia="zh-CN"/>
        </w:rPr>
        <w:t xml:space="preserve"> </w:t>
      </w:r>
    </w:p>
    <w:tbl>
      <w:tblPr>
        <w:tblStyle w:val="af9"/>
        <w:tblW w:w="0" w:type="auto"/>
        <w:tblLook w:val="04A0" w:firstRow="1" w:lastRow="0" w:firstColumn="1" w:lastColumn="0" w:noHBand="0" w:noVBand="1"/>
      </w:tblPr>
      <w:tblGrid>
        <w:gridCol w:w="9628"/>
      </w:tblGrid>
      <w:tr w:rsidR="00CC2402" w:rsidRPr="00CC2402" w:rsidTr="00CC2402">
        <w:tc>
          <w:tcPr>
            <w:tcW w:w="9628" w:type="dxa"/>
          </w:tcPr>
          <w:p w:rsidR="00CC2402" w:rsidRPr="00CC2402" w:rsidRDefault="00CC2402" w:rsidP="00CC2402">
            <w:pPr>
              <w:spacing w:before="0" w:after="0" w:line="240" w:lineRule="auto"/>
              <w:rPr>
                <w:rFonts w:ascii="Times New Roman" w:hAnsi="Times New Roman"/>
                <w:lang w:val="en-GB" w:eastAsia="zh-CN"/>
              </w:rPr>
            </w:pPr>
            <w:r w:rsidRPr="00CC2402">
              <w:rPr>
                <w:rFonts w:ascii="Times New Roman" w:hAnsi="Times New Roman"/>
                <w:lang w:val="en-GB" w:eastAsia="zh-CN"/>
              </w:rPr>
              <w:t>The followings for UL Tx switching for SUL are missing in the Rel-16/17 specification.</w:t>
            </w:r>
          </w:p>
          <w:p w:rsidR="00CC2402" w:rsidRPr="00CC2402" w:rsidRDefault="00CC2402" w:rsidP="00CC2402">
            <w:pPr>
              <w:pStyle w:val="a"/>
              <w:numPr>
                <w:ilvl w:val="0"/>
                <w:numId w:val="38"/>
              </w:numPr>
              <w:spacing w:before="0" w:after="0" w:line="240" w:lineRule="auto"/>
              <w:rPr>
                <w:rFonts w:ascii="Times New Roman" w:hAnsi="Times New Roman"/>
                <w:lang w:eastAsia="zh-CN"/>
              </w:rPr>
            </w:pPr>
            <w:r w:rsidRPr="00CC2402">
              <w:rPr>
                <w:rFonts w:ascii="Times New Roman" w:eastAsiaTheme="minorEastAsia" w:hAnsi="Times New Roman"/>
                <w:lang w:eastAsia="zh-CN"/>
              </w:rPr>
              <w:t xml:space="preserve">For UE configured with Rel-16/Rel-17 UL Tx switching for SUL, UE is not allowed to perform “1P+1P” (i.e., simultaneous transmissions) on SUL (i.e., SUL#1 in the following table) and its corresponding NUL (i.e., NUL#2 in the following table) even if UE indicates support of </w:t>
            </w:r>
            <w:proofErr w:type="spellStart"/>
            <w:r w:rsidRPr="00CC2402">
              <w:rPr>
                <w:rFonts w:ascii="Times New Roman" w:eastAsiaTheme="minorEastAsia" w:hAnsi="Times New Roman"/>
                <w:lang w:eastAsia="zh-CN"/>
              </w:rPr>
              <w:t>simultaneousTxSUL-NonSUL</w:t>
            </w:r>
            <w:proofErr w:type="spellEnd"/>
            <w:r w:rsidRPr="00CC2402">
              <w:rPr>
                <w:rFonts w:ascii="Times New Roman" w:eastAsiaTheme="minorEastAsia" w:hAnsi="Times New Roman"/>
                <w:lang w:eastAsia="zh-CN"/>
              </w:rPr>
              <w:t>.</w:t>
            </w:r>
          </w:p>
          <w:p w:rsidR="00CC2402" w:rsidRPr="00CC2402" w:rsidRDefault="00CC2402" w:rsidP="00CC2402">
            <w:pPr>
              <w:pStyle w:val="a"/>
              <w:numPr>
                <w:ilvl w:val="0"/>
                <w:numId w:val="38"/>
              </w:numPr>
              <w:spacing w:before="0" w:after="0" w:line="240" w:lineRule="auto"/>
              <w:rPr>
                <w:rFonts w:ascii="Times New Roman" w:hAnsi="Times New Roman"/>
                <w:lang w:eastAsia="zh-CN"/>
              </w:rPr>
            </w:pPr>
            <w:r w:rsidRPr="00CC2402">
              <w:rPr>
                <w:rFonts w:ascii="Times New Roman" w:eastAsiaTheme="minorEastAsia" w:hAnsi="Times New Roman"/>
                <w:lang w:eastAsia="zh-CN"/>
              </w:rPr>
              <w:t>For UE configured with Rel-17 UL Tx switching for SUL, UE is not allowed to perform “1P+1P” (i.e., simultaneous transmissions) on SUL (i.e., SUL#1 in the following table) and the non-corresponding NUL (i.e., UL#3 in the following table).</w:t>
            </w:r>
          </w:p>
          <w:p w:rsidR="00CC2402" w:rsidRPr="00CC2402" w:rsidRDefault="00CC2402" w:rsidP="00CC2402">
            <w:pPr>
              <w:spacing w:before="0" w:after="0" w:line="240" w:lineRule="auto"/>
              <w:rPr>
                <w:rFonts w:ascii="Times New Roman" w:hAnsi="Times New Roman"/>
                <w:lang w:val="en-GB" w:eastAsia="zh-CN"/>
              </w:rPr>
            </w:pPr>
            <w:r w:rsidRPr="00CC2402">
              <w:rPr>
                <w:rFonts w:ascii="Times New Roman" w:hAnsi="Times New Roman"/>
                <w:lang w:val="en-GB" w:eastAsia="zh-CN"/>
              </w:rPr>
              <w:t xml:space="preserve">The details of UL Tx switching for </w:t>
            </w:r>
            <w:proofErr w:type="spellStart"/>
            <w:r w:rsidRPr="00CC2402">
              <w:rPr>
                <w:rFonts w:ascii="Times New Roman" w:hAnsi="Times New Roman"/>
                <w:lang w:val="en-GB" w:eastAsia="zh-CN"/>
              </w:rPr>
              <w:t>switchedUL</w:t>
            </w:r>
            <w:proofErr w:type="spellEnd"/>
            <w:r w:rsidRPr="00CC2402">
              <w:rPr>
                <w:rFonts w:ascii="Times New Roman" w:hAnsi="Times New Roman"/>
                <w:lang w:val="en-GB" w:eastAsia="zh-CN"/>
              </w:rPr>
              <w:t xml:space="preserve"> CA is missing in the Rel-16/17 specification</w:t>
            </w:r>
          </w:p>
        </w:tc>
      </w:tr>
    </w:tbl>
    <w:p w:rsidR="00CC2402" w:rsidRDefault="00CC2402" w:rsidP="00CC2402">
      <w:pPr>
        <w:rPr>
          <w:lang w:val="en-GB" w:eastAsia="zh-CN"/>
        </w:rPr>
      </w:pPr>
    </w:p>
    <w:p w:rsidR="006B478D" w:rsidRPr="00CC2402" w:rsidRDefault="00CC2402">
      <w:pPr>
        <w:rPr>
          <w:b/>
          <w:u w:val="single"/>
          <w:lang w:val="en-GB" w:eastAsia="zh-CN"/>
        </w:rPr>
      </w:pPr>
      <w:r w:rsidRPr="00CC2402">
        <w:rPr>
          <w:rFonts w:hint="eastAsia"/>
          <w:b/>
          <w:u w:val="single"/>
          <w:lang w:val="en-GB" w:eastAsia="zh-CN"/>
        </w:rPr>
        <w:lastRenderedPageBreak/>
        <w:t>T</w:t>
      </w:r>
      <w:r w:rsidRPr="00CC2402">
        <w:rPr>
          <w:b/>
          <w:u w:val="single"/>
          <w:lang w:val="en-GB" w:eastAsia="zh-CN"/>
        </w:rPr>
        <w:t>P in section 6.1.6 of TS38.214:</w:t>
      </w:r>
    </w:p>
    <w:tbl>
      <w:tblPr>
        <w:tblStyle w:val="af9"/>
        <w:tblW w:w="0" w:type="auto"/>
        <w:tblLook w:val="04A0" w:firstRow="1" w:lastRow="0" w:firstColumn="1" w:lastColumn="0" w:noHBand="0" w:noVBand="1"/>
      </w:tblPr>
      <w:tblGrid>
        <w:gridCol w:w="9628"/>
      </w:tblGrid>
      <w:tr w:rsidR="00760853" w:rsidRPr="006B478D" w:rsidTr="00760853">
        <w:tc>
          <w:tcPr>
            <w:tcW w:w="9628" w:type="dxa"/>
          </w:tcPr>
          <w:p w:rsidR="00760853" w:rsidRPr="006B478D" w:rsidRDefault="00760853" w:rsidP="00CC2402">
            <w:pPr>
              <w:pStyle w:val="3"/>
              <w:numPr>
                <w:ilvl w:val="0"/>
                <w:numId w:val="0"/>
              </w:numPr>
              <w:spacing w:before="0" w:after="0" w:line="240" w:lineRule="auto"/>
              <w:ind w:left="720" w:hanging="720"/>
              <w:outlineLvl w:val="2"/>
              <w:rPr>
                <w:rFonts w:ascii="Times New Roman" w:hAnsi="Times New Roman"/>
                <w:b/>
                <w:bCs/>
                <w:lang w:eastAsia="zh-CN"/>
              </w:rPr>
            </w:pPr>
            <w:r w:rsidRPr="006B478D">
              <w:rPr>
                <w:rFonts w:ascii="Times New Roman" w:hAnsi="Times New Roman"/>
                <w:b/>
                <w:bCs/>
              </w:rPr>
              <w:t>6.1.6</w:t>
            </w:r>
            <w:r w:rsidRPr="006B478D">
              <w:rPr>
                <w:rFonts w:ascii="Times New Roman" w:hAnsi="Times New Roman"/>
                <w:b/>
                <w:bCs/>
              </w:rPr>
              <w:tab/>
              <w:t>Uplink switching</w:t>
            </w:r>
          </w:p>
          <w:p w:rsidR="00760853" w:rsidRPr="006B478D" w:rsidRDefault="00760853" w:rsidP="00CC2402">
            <w:pPr>
              <w:spacing w:before="0" w:after="0" w:line="240" w:lineRule="auto"/>
              <w:rPr>
                <w:rFonts w:ascii="Times New Roman" w:hAnsi="Times New Roman"/>
              </w:rPr>
            </w:pPr>
            <w:r w:rsidRPr="006B478D">
              <w:rPr>
                <w:rFonts w:ascii="Times New Roman" w:hAnsi="Times New Roman"/>
              </w:rPr>
              <w:t xml:space="preserve">The UE may omit uplink transmission during the uplink switching gap </w:t>
            </w:r>
            <w:r w:rsidRPr="006B478D">
              <w:rPr>
                <w:noProof/>
              </w:rPr>
              <w:drawing>
                <wp:inline distT="0" distB="0" distL="0" distR="0">
                  <wp:extent cx="407035" cy="142875"/>
                  <wp:effectExtent l="0" t="0" r="0" b="9525"/>
                  <wp:docPr id="2" name="图片 2" descr="C:\Users\10240317\AppData\Local\Temp\ksohtml1345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0240317\AppData\Local\Temp\ksohtml13456\wps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035" cy="142875"/>
                          </a:xfrm>
                          <a:prstGeom prst="rect">
                            <a:avLst/>
                          </a:prstGeom>
                          <a:noFill/>
                          <a:ln>
                            <a:noFill/>
                          </a:ln>
                        </pic:spPr>
                      </pic:pic>
                    </a:graphicData>
                  </a:graphic>
                </wp:inline>
              </w:drawing>
            </w:r>
            <w:r w:rsidRPr="006B478D">
              <w:rPr>
                <w:rFonts w:ascii="Times New Roman" w:hAnsi="Times New Roman"/>
                <w:b/>
              </w:rPr>
              <w:t xml:space="preserve"> </w:t>
            </w:r>
            <w:r w:rsidRPr="006B478D">
              <w:rPr>
                <w:rFonts w:ascii="Times New Roman" w:hAnsi="Times New Roman"/>
              </w:rPr>
              <w:t xml:space="preserve">if the conditions defined in this clause are met and the UE is configured with </w:t>
            </w:r>
            <w:proofErr w:type="spellStart"/>
            <w:r w:rsidRPr="006B478D">
              <w:rPr>
                <w:rFonts w:ascii="Times New Roman" w:hAnsi="Times New Roman"/>
                <w:i/>
              </w:rPr>
              <w:t>uplinkTxSwitching</w:t>
            </w:r>
            <w:proofErr w:type="spellEnd"/>
            <w:r w:rsidRPr="006B478D">
              <w:rPr>
                <w:rFonts w:ascii="Times New Roman" w:hAnsi="Times New Roman"/>
              </w:rPr>
              <w:t xml:space="preserve">. The switching gap </w:t>
            </w:r>
            <w:r w:rsidRPr="006B478D">
              <w:rPr>
                <w:noProof/>
              </w:rPr>
              <w:drawing>
                <wp:inline distT="0" distB="0" distL="0" distR="0">
                  <wp:extent cx="407035" cy="142875"/>
                  <wp:effectExtent l="0" t="0" r="0" b="9525"/>
                  <wp:docPr id="1" name="图片 1" descr="C:\Users\10240317\AppData\Local\Temp\ksohtml1345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0240317\AppData\Local\Temp\ksohtml13456\wps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035" cy="142875"/>
                          </a:xfrm>
                          <a:prstGeom prst="rect">
                            <a:avLst/>
                          </a:prstGeom>
                          <a:noFill/>
                          <a:ln>
                            <a:noFill/>
                          </a:ln>
                        </pic:spPr>
                      </pic:pic>
                    </a:graphicData>
                  </a:graphic>
                </wp:inline>
              </w:drawing>
            </w:r>
            <w:r w:rsidRPr="006B478D">
              <w:rPr>
                <w:rFonts w:ascii="Times New Roman" w:hAnsi="Times New Roman"/>
                <w:b/>
              </w:rPr>
              <w:t xml:space="preserve"> </w:t>
            </w:r>
            <w:r w:rsidRPr="006B478D">
              <w:rPr>
                <w:rFonts w:ascii="Times New Roman" w:hAnsi="Times New Roman"/>
              </w:rPr>
              <w:t xml:space="preserve">is indicated by UE capability </w:t>
            </w:r>
            <w:proofErr w:type="spellStart"/>
            <w:r w:rsidRPr="006B478D">
              <w:rPr>
                <w:rFonts w:ascii="Times New Roman" w:hAnsi="Times New Roman"/>
                <w:i/>
              </w:rPr>
              <w:t>uplinkTxSwitchingPeriod</w:t>
            </w:r>
            <w:proofErr w:type="spellEnd"/>
            <w:r w:rsidRPr="006B478D">
              <w:rPr>
                <w:rFonts w:ascii="Times New Roman" w:hAnsi="Times New Roman"/>
              </w:rPr>
              <w:t xml:space="preserve">: </w:t>
            </w:r>
          </w:p>
          <w:p w:rsidR="00760853" w:rsidRPr="006B478D" w:rsidRDefault="00760853" w:rsidP="00CC2402">
            <w:pPr>
              <w:pStyle w:val="B1"/>
              <w:spacing w:before="0" w:after="0" w:line="240" w:lineRule="auto"/>
              <w:rPr>
                <w:rFonts w:ascii="Times New Roman" w:hAnsi="Times New Roman"/>
              </w:rPr>
            </w:pPr>
            <w:r w:rsidRPr="006B478D">
              <w:rPr>
                <w:rFonts w:ascii="Times New Roman" w:hAnsi="Times New Roman"/>
              </w:rPr>
              <w:t>-</w:t>
            </w:r>
            <w:r w:rsidRPr="006B478D">
              <w:rPr>
                <w:rFonts w:ascii="Times New Roman" w:hAnsi="Times New Roman"/>
              </w:rPr>
              <w:tab/>
              <w:t xml:space="preserve">If a UE indicated a capability for uplink switching with </w:t>
            </w:r>
            <w:proofErr w:type="spellStart"/>
            <w:r w:rsidRPr="006B478D">
              <w:rPr>
                <w:rFonts w:ascii="Times New Roman" w:hAnsi="Times New Roman"/>
                <w:i/>
                <w:iCs/>
              </w:rPr>
              <w:t>BandCombination-UplinkTxSwitch</w:t>
            </w:r>
            <w:proofErr w:type="spellEnd"/>
            <w:r w:rsidRPr="006B478D">
              <w:rPr>
                <w:rFonts w:ascii="Times New Roman" w:hAnsi="Times New Roman"/>
              </w:rPr>
              <w:t xml:space="preserve"> for a band combination, and if it is for that band combination</w:t>
            </w:r>
          </w:p>
          <w:p w:rsidR="00760853" w:rsidRPr="006B478D" w:rsidRDefault="00760853" w:rsidP="00CC2402">
            <w:pPr>
              <w:pStyle w:val="B2"/>
              <w:spacing w:before="0" w:after="0" w:line="240" w:lineRule="auto"/>
              <w:rPr>
                <w:rFonts w:ascii="Times New Roman" w:hAnsi="Times New Roman"/>
              </w:rPr>
            </w:pPr>
            <w:r w:rsidRPr="006B478D">
              <w:rPr>
                <w:rFonts w:ascii="Times New Roman" w:hAnsi="Times New Roman"/>
              </w:rPr>
              <w:t>-</w:t>
            </w:r>
            <w:r w:rsidRPr="006B478D">
              <w:rPr>
                <w:rFonts w:ascii="Times New Roman" w:hAnsi="Times New Roman"/>
              </w:rPr>
              <w:tab/>
              <w:t xml:space="preserve">Configured with </w:t>
            </w:r>
            <w:proofErr w:type="gramStart"/>
            <w:r w:rsidRPr="006B478D">
              <w:rPr>
                <w:rFonts w:ascii="Times New Roman" w:hAnsi="Times New Roman"/>
              </w:rPr>
              <w:t>a</w:t>
            </w:r>
            <w:proofErr w:type="gramEnd"/>
            <w:r w:rsidRPr="006B478D">
              <w:rPr>
                <w:rFonts w:ascii="Times New Roman" w:hAnsi="Times New Roman"/>
              </w:rPr>
              <w:t xml:space="preserve"> MCG using E-UTRA radio access and with a SCG using NR radio access (EN-DC), or</w:t>
            </w:r>
          </w:p>
          <w:p w:rsidR="00760853" w:rsidRPr="006B478D" w:rsidRDefault="00760853" w:rsidP="00CC2402">
            <w:pPr>
              <w:pStyle w:val="B2"/>
              <w:spacing w:before="0" w:after="0" w:line="240" w:lineRule="auto"/>
              <w:rPr>
                <w:rFonts w:ascii="Times New Roman" w:hAnsi="Times New Roman"/>
              </w:rPr>
            </w:pPr>
            <w:r w:rsidRPr="006B478D">
              <w:rPr>
                <w:rFonts w:ascii="Times New Roman" w:hAnsi="Times New Roman"/>
              </w:rPr>
              <w:t>-</w:t>
            </w:r>
            <w:r w:rsidRPr="006B478D">
              <w:rPr>
                <w:rFonts w:ascii="Times New Roman" w:hAnsi="Times New Roman"/>
              </w:rPr>
              <w:tab/>
              <w:t>Configured with uplink carrier aggregation, or</w:t>
            </w:r>
          </w:p>
          <w:p w:rsidR="00760853" w:rsidRPr="006B478D" w:rsidRDefault="00760853" w:rsidP="00CC2402">
            <w:pPr>
              <w:pStyle w:val="B2"/>
              <w:spacing w:before="0" w:after="0" w:line="240" w:lineRule="auto"/>
              <w:rPr>
                <w:rFonts w:ascii="Times New Roman" w:hAnsi="Times New Roman"/>
              </w:rPr>
            </w:pPr>
            <w:r w:rsidRPr="006B478D">
              <w:rPr>
                <w:rFonts w:ascii="Times New Roman" w:hAnsi="Times New Roman"/>
              </w:rPr>
              <w:t>-</w:t>
            </w:r>
            <w:r w:rsidRPr="006B478D">
              <w:rPr>
                <w:rFonts w:ascii="Times New Roman" w:hAnsi="Times New Roman"/>
              </w:rPr>
              <w:tab/>
              <w:t xml:space="preserve">Configured in a serving cell with two uplink carriers with higher layer parameter </w:t>
            </w:r>
            <w:proofErr w:type="spellStart"/>
            <w:r w:rsidRPr="006B478D">
              <w:rPr>
                <w:rFonts w:ascii="Times New Roman" w:hAnsi="Times New Roman"/>
                <w:i/>
                <w:iCs/>
              </w:rPr>
              <w:t>supplementaryUplink</w:t>
            </w:r>
            <w:proofErr w:type="spellEnd"/>
            <w:r w:rsidRPr="006B478D">
              <w:rPr>
                <w:rFonts w:ascii="Times New Roman" w:hAnsi="Times New Roman"/>
              </w:rPr>
              <w:t>.</w:t>
            </w:r>
          </w:p>
          <w:p w:rsidR="00760853" w:rsidRPr="006B478D" w:rsidRDefault="00760853" w:rsidP="00CC2402">
            <w:pPr>
              <w:pStyle w:val="B2"/>
              <w:spacing w:before="0" w:after="0" w:line="240" w:lineRule="auto"/>
              <w:rPr>
                <w:rFonts w:ascii="Times New Roman" w:hAnsi="Times New Roman"/>
              </w:rPr>
            </w:pPr>
            <w:r w:rsidRPr="006B478D">
              <w:rPr>
                <w:rFonts w:ascii="Times New Roman" w:hAnsi="Times New Roman"/>
              </w:rPr>
              <w:tab/>
              <w:t>the conditions under which the switching gap may be present and the location of the switching gap are defined for each of the cases in clauses 6.1.6.1, 6.1.6.2, and 6.1.6.3 respectively.</w:t>
            </w:r>
          </w:p>
          <w:p w:rsidR="00760853" w:rsidRPr="006B478D" w:rsidRDefault="00760853" w:rsidP="00CC2402">
            <w:pPr>
              <w:spacing w:before="0" w:after="0" w:line="240" w:lineRule="auto"/>
              <w:rPr>
                <w:rFonts w:ascii="Times New Roman" w:hAnsi="Times New Roman"/>
              </w:rPr>
            </w:pPr>
            <w:r w:rsidRPr="006B478D">
              <w:rPr>
                <w:rFonts w:ascii="Times New Roman" w:hAnsi="Times New Roman"/>
              </w:rPr>
              <w:t xml:space="preserve">If an uplink switching is triggered for an uplink transmission starting at </w:t>
            </w:r>
            <w:r w:rsidRPr="006B478D">
              <w:rPr>
                <w:rFonts w:ascii="Times New Roman" w:hAnsi="Times New Roman"/>
                <w:i/>
              </w:rPr>
              <w:t>T</w:t>
            </w:r>
            <w:r w:rsidRPr="006B478D">
              <w:rPr>
                <w:rFonts w:ascii="Times New Roman" w:hAnsi="Times New Roman"/>
                <w:i/>
                <w:vertAlign w:val="subscript"/>
              </w:rPr>
              <w:t>0</w:t>
            </w:r>
            <w:r w:rsidRPr="006B478D">
              <w:rPr>
                <w:rFonts w:ascii="Times New Roman" w:hAnsi="Times New Roman"/>
              </w:rPr>
              <w:t xml:space="preserve">, after </w:t>
            </w:r>
            <w:r w:rsidRPr="006B478D">
              <w:rPr>
                <w:rFonts w:ascii="Times New Roman" w:hAnsi="Times New Roman"/>
                <w:i/>
              </w:rPr>
              <w:t>T</w:t>
            </w:r>
            <w:r w:rsidRPr="006B478D">
              <w:rPr>
                <w:rFonts w:ascii="Times New Roman" w:hAnsi="Times New Roman"/>
                <w:i/>
                <w:vertAlign w:val="subscript"/>
              </w:rPr>
              <w:t>0</w:t>
            </w:r>
            <w:r w:rsidRPr="006B478D">
              <w:rPr>
                <w:rFonts w:ascii="Times New Roman" w:hAnsi="Times New Roman"/>
                <w:i/>
              </w:rPr>
              <w:t>-T</w:t>
            </w:r>
            <w:r w:rsidRPr="006B478D">
              <w:rPr>
                <w:rFonts w:ascii="Times New Roman" w:hAnsi="Times New Roman"/>
                <w:i/>
                <w:vertAlign w:val="subscript"/>
              </w:rPr>
              <w:t>offset</w:t>
            </w:r>
            <w:r w:rsidRPr="006B478D">
              <w:rPr>
                <w:rFonts w:ascii="Times New Roman" w:hAnsi="Times New Roman"/>
              </w:rPr>
              <w:t xml:space="preserve">, the UE is not expected to cancel the uplink switching, or to trigger any other new uplink switching occurring before </w:t>
            </w:r>
            <w:r w:rsidRPr="006B478D">
              <w:rPr>
                <w:rFonts w:ascii="Times New Roman" w:hAnsi="Times New Roman"/>
                <w:i/>
              </w:rPr>
              <w:t>T</w:t>
            </w:r>
            <w:r w:rsidRPr="006B478D">
              <w:rPr>
                <w:rFonts w:ascii="Times New Roman" w:hAnsi="Times New Roman"/>
                <w:i/>
                <w:vertAlign w:val="subscript"/>
              </w:rPr>
              <w:t>0</w:t>
            </w:r>
            <w:r w:rsidRPr="006B478D">
              <w:rPr>
                <w:rFonts w:ascii="Times New Roman" w:hAnsi="Times New Roman"/>
              </w:rPr>
              <w:t xml:space="preserve"> for any other uplink transmission that is scheduled after </w:t>
            </w:r>
            <w:r w:rsidRPr="006B478D">
              <w:rPr>
                <w:rFonts w:ascii="Times New Roman" w:hAnsi="Times New Roman"/>
                <w:i/>
              </w:rPr>
              <w:t>T</w:t>
            </w:r>
            <w:r w:rsidRPr="006B478D">
              <w:rPr>
                <w:rFonts w:ascii="Times New Roman" w:hAnsi="Times New Roman"/>
                <w:i/>
                <w:vertAlign w:val="subscript"/>
              </w:rPr>
              <w:t>0</w:t>
            </w:r>
            <w:r w:rsidRPr="006B478D">
              <w:rPr>
                <w:rFonts w:ascii="Times New Roman" w:hAnsi="Times New Roman"/>
                <w:i/>
              </w:rPr>
              <w:t>-T</w:t>
            </w:r>
            <w:r w:rsidRPr="006B478D">
              <w:rPr>
                <w:rFonts w:ascii="Times New Roman" w:hAnsi="Times New Roman"/>
                <w:i/>
                <w:vertAlign w:val="subscript"/>
              </w:rPr>
              <w:t>offset</w:t>
            </w:r>
            <w:r w:rsidRPr="006B478D">
              <w:rPr>
                <w:rFonts w:ascii="Times New Roman" w:hAnsi="Times New Roman"/>
              </w:rPr>
              <w:t xml:space="preserve">, where </w:t>
            </w:r>
            <w:proofErr w:type="spellStart"/>
            <w:r w:rsidRPr="006B478D">
              <w:rPr>
                <w:rFonts w:ascii="Times New Roman" w:hAnsi="Times New Roman"/>
                <w:i/>
              </w:rPr>
              <w:t>T</w:t>
            </w:r>
            <w:r w:rsidRPr="006B478D">
              <w:rPr>
                <w:rFonts w:ascii="Times New Roman" w:hAnsi="Times New Roman"/>
                <w:i/>
                <w:vertAlign w:val="subscript"/>
              </w:rPr>
              <w:t>offset</w:t>
            </w:r>
            <w:proofErr w:type="spellEnd"/>
            <w:r w:rsidRPr="006B478D">
              <w:rPr>
                <w:rFonts w:ascii="Times New Roman" w:hAnsi="Times New Roman"/>
              </w:rPr>
              <w:t xml:space="preserve"> is the UE processing procedure time defined for the uplink transmission triggering the switch given in clause 5.3, clause 5.4, clause 6.2.1, clause 6.4 and in clause 9 of [6, TS 38.213].</w:t>
            </w:r>
          </w:p>
          <w:p w:rsidR="00760853" w:rsidRPr="006B478D" w:rsidRDefault="00760853" w:rsidP="00CC2402">
            <w:pPr>
              <w:spacing w:before="0" w:after="0" w:line="240" w:lineRule="auto"/>
              <w:rPr>
                <w:rFonts w:ascii="Times New Roman" w:hAnsi="Times New Roman"/>
              </w:rPr>
            </w:pPr>
            <w:r w:rsidRPr="006B478D">
              <w:rPr>
                <w:rFonts w:ascii="Times New Roman" w:hAnsi="Times New Roman"/>
              </w:rPr>
              <w:t xml:space="preserve">The UE does not expect to perform more than one uplink switching in a slot with </w:t>
            </w:r>
            <w:r w:rsidRPr="006B478D">
              <w:rPr>
                <w:rFonts w:ascii="Times New Roman" w:hAnsi="Times New Roman"/>
                <w:i/>
              </w:rPr>
              <w:t>µ</w:t>
            </w:r>
            <w:r w:rsidRPr="006B478D">
              <w:rPr>
                <w:rFonts w:ascii="Times New Roman" w:hAnsi="Times New Roman"/>
                <w:i/>
                <w:vertAlign w:val="subscript"/>
              </w:rPr>
              <w:t xml:space="preserve">UL </w:t>
            </w:r>
            <w:r w:rsidRPr="006B478D">
              <w:rPr>
                <w:rFonts w:ascii="Times New Roman" w:hAnsi="Times New Roman"/>
              </w:rPr>
              <w:t xml:space="preserve">= </w:t>
            </w:r>
            <w:proofErr w:type="gramStart"/>
            <w:r w:rsidRPr="006B478D">
              <w:rPr>
                <w:rFonts w:ascii="Times New Roman" w:hAnsi="Times New Roman"/>
              </w:rPr>
              <w:t>max(</w:t>
            </w:r>
            <w:proofErr w:type="gramEnd"/>
            <w:r w:rsidRPr="006B478D">
              <w:rPr>
                <w:rFonts w:ascii="Times New Roman" w:hAnsi="Times New Roman"/>
                <w:i/>
              </w:rPr>
              <w:t>µ</w:t>
            </w:r>
            <w:r w:rsidRPr="006B478D">
              <w:rPr>
                <w:rFonts w:ascii="Times New Roman" w:hAnsi="Times New Roman"/>
                <w:i/>
                <w:vertAlign w:val="subscript"/>
              </w:rPr>
              <w:t>UL, 1,</w:t>
            </w:r>
            <w:r w:rsidRPr="006B478D">
              <w:rPr>
                <w:rFonts w:ascii="Times New Roman" w:hAnsi="Times New Roman"/>
                <w:i/>
              </w:rPr>
              <w:t xml:space="preserve"> µ</w:t>
            </w:r>
            <w:r w:rsidRPr="006B478D">
              <w:rPr>
                <w:rFonts w:ascii="Times New Roman" w:hAnsi="Times New Roman"/>
                <w:i/>
                <w:vertAlign w:val="subscript"/>
              </w:rPr>
              <w:t>UL, 2</w:t>
            </w:r>
            <w:r w:rsidRPr="006B478D">
              <w:rPr>
                <w:rFonts w:ascii="Times New Roman" w:hAnsi="Times New Roman"/>
              </w:rPr>
              <w:t xml:space="preserve">), where the </w:t>
            </w:r>
            <w:r w:rsidRPr="006B478D">
              <w:rPr>
                <w:rFonts w:ascii="Times New Roman" w:hAnsi="Times New Roman"/>
                <w:i/>
              </w:rPr>
              <w:t>µ</w:t>
            </w:r>
            <w:r w:rsidRPr="006B478D">
              <w:rPr>
                <w:rFonts w:ascii="Times New Roman" w:hAnsi="Times New Roman"/>
                <w:i/>
                <w:vertAlign w:val="subscript"/>
              </w:rPr>
              <w:t>UL, 1</w:t>
            </w:r>
            <w:r w:rsidRPr="006B478D">
              <w:rPr>
                <w:rFonts w:ascii="Times New Roman" w:hAnsi="Times New Roman"/>
              </w:rPr>
              <w:t xml:space="preserve"> corresponds to the subcarrier spacing of the active UL BWP of one uplink carrier before the switching gap and the </w:t>
            </w:r>
            <w:r w:rsidRPr="006B478D">
              <w:rPr>
                <w:rFonts w:ascii="Times New Roman" w:hAnsi="Times New Roman"/>
                <w:i/>
              </w:rPr>
              <w:t>µ</w:t>
            </w:r>
            <w:r w:rsidRPr="006B478D">
              <w:rPr>
                <w:rFonts w:ascii="Times New Roman" w:hAnsi="Times New Roman"/>
                <w:i/>
                <w:vertAlign w:val="subscript"/>
              </w:rPr>
              <w:t>UL, 2</w:t>
            </w:r>
            <w:r w:rsidRPr="006B478D">
              <w:rPr>
                <w:rFonts w:ascii="Times New Roman" w:hAnsi="Times New Roman"/>
              </w:rPr>
              <w:t xml:space="preserve"> corresponds to the subcarrier spacing of the active UL BWP of the other uplink carrier after the switching gap.</w:t>
            </w:r>
          </w:p>
          <w:p w:rsidR="00760853" w:rsidRPr="006B478D" w:rsidRDefault="00760853" w:rsidP="00CC2402">
            <w:pPr>
              <w:pStyle w:val="B1"/>
              <w:spacing w:before="0" w:after="0" w:line="240" w:lineRule="auto"/>
              <w:ind w:leftChars="28" w:left="56"/>
              <w:rPr>
                <w:rFonts w:ascii="Times New Roman" w:hAnsi="Times New Roman"/>
                <w:color w:val="FF0000"/>
                <w:u w:val="single"/>
              </w:rPr>
            </w:pPr>
            <w:r w:rsidRPr="006B478D">
              <w:rPr>
                <w:rFonts w:ascii="Times New Roman" w:hAnsi="Times New Roman"/>
                <w:color w:val="FF0000"/>
                <w:u w:val="single"/>
              </w:rPr>
              <w:t xml:space="preserve">If a UE indicated a capability for uplink switching with </w:t>
            </w:r>
            <w:proofErr w:type="spellStart"/>
            <w:r w:rsidRPr="006B478D">
              <w:rPr>
                <w:rFonts w:ascii="Times New Roman" w:hAnsi="Times New Roman"/>
                <w:i/>
                <w:iCs/>
                <w:color w:val="FF0000"/>
                <w:u w:val="single"/>
              </w:rPr>
              <w:t>BandCombination-UplinkTxSwitch</w:t>
            </w:r>
            <w:proofErr w:type="spellEnd"/>
            <w:r w:rsidRPr="006B478D">
              <w:rPr>
                <w:rFonts w:ascii="Times New Roman" w:hAnsi="Times New Roman"/>
                <w:color w:val="FF0000"/>
                <w:u w:val="single"/>
              </w:rPr>
              <w:t xml:space="preserve"> for a band combination, and if it is for that band combination</w:t>
            </w:r>
          </w:p>
          <w:p w:rsidR="00760853" w:rsidRPr="006B478D" w:rsidRDefault="00760853" w:rsidP="00CC2402">
            <w:pPr>
              <w:pStyle w:val="B2"/>
              <w:spacing w:before="0" w:after="0" w:line="240" w:lineRule="auto"/>
              <w:ind w:leftChars="170" w:left="340"/>
              <w:rPr>
                <w:rFonts w:ascii="Times New Roman" w:hAnsi="Times New Roman"/>
                <w:color w:val="FF0000"/>
                <w:u w:val="single"/>
              </w:rPr>
            </w:pPr>
            <w:r w:rsidRPr="006B478D">
              <w:rPr>
                <w:rFonts w:ascii="Times New Roman" w:hAnsi="Times New Roman"/>
                <w:color w:val="FF0000"/>
                <w:u w:val="single"/>
              </w:rPr>
              <w:t>-</w:t>
            </w:r>
            <w:r w:rsidRPr="006B478D">
              <w:rPr>
                <w:rFonts w:ascii="Times New Roman" w:hAnsi="Times New Roman"/>
                <w:color w:val="FF0000"/>
                <w:u w:val="single"/>
              </w:rPr>
              <w:tab/>
              <w:t>Configured with uplink carrier aggregation</w:t>
            </w:r>
            <w:r w:rsidR="006B478D" w:rsidRPr="006B478D">
              <w:rPr>
                <w:rFonts w:ascii="Times New Roman" w:hAnsi="Times New Roman"/>
                <w:color w:val="FF0000"/>
                <w:u w:val="single"/>
              </w:rPr>
              <w:t xml:space="preserve"> and </w:t>
            </w:r>
            <w:r w:rsidR="006B478D" w:rsidRPr="006B478D">
              <w:rPr>
                <w:rFonts w:ascii="Times New Roman" w:hAnsi="Times New Roman"/>
                <w:color w:val="FF0000"/>
                <w:u w:val="single"/>
                <w:lang w:eastAsia="zh-CN"/>
              </w:rPr>
              <w:t xml:space="preserve">configured with </w:t>
            </w:r>
            <w:proofErr w:type="spellStart"/>
            <w:r w:rsidR="006B478D" w:rsidRPr="006B478D">
              <w:rPr>
                <w:rFonts w:ascii="Times New Roman" w:hAnsi="Times New Roman"/>
                <w:color w:val="FF0000"/>
                <w:u w:val="single"/>
                <w:lang w:eastAsia="zh-CN"/>
              </w:rPr>
              <w:t>uplinkTxSwitchingOption</w:t>
            </w:r>
            <w:proofErr w:type="spellEnd"/>
            <w:r w:rsidR="006B478D" w:rsidRPr="006B478D">
              <w:rPr>
                <w:rFonts w:ascii="Times New Roman" w:hAnsi="Times New Roman"/>
                <w:color w:val="FF0000"/>
                <w:u w:val="single"/>
                <w:lang w:eastAsia="zh-CN"/>
              </w:rPr>
              <w:t xml:space="preserve"> set to ‘</w:t>
            </w:r>
            <w:proofErr w:type="spellStart"/>
            <w:r w:rsidR="006B478D" w:rsidRPr="006B478D">
              <w:rPr>
                <w:rFonts w:ascii="Times New Roman" w:hAnsi="Times New Roman"/>
                <w:i/>
                <w:color w:val="FF0000"/>
                <w:u w:val="single"/>
                <w:lang w:eastAsia="zh-CN"/>
              </w:rPr>
              <w:t>switchedUL</w:t>
            </w:r>
            <w:proofErr w:type="spellEnd"/>
            <w:r w:rsidR="006B478D" w:rsidRPr="006B478D">
              <w:rPr>
                <w:rFonts w:ascii="Times New Roman" w:hAnsi="Times New Roman"/>
                <w:color w:val="FF0000"/>
                <w:u w:val="single"/>
                <w:lang w:eastAsia="zh-CN"/>
              </w:rPr>
              <w:t>’</w:t>
            </w:r>
            <w:r w:rsidRPr="006B478D">
              <w:rPr>
                <w:rFonts w:ascii="Times New Roman" w:hAnsi="Times New Roman"/>
                <w:color w:val="FF0000"/>
                <w:u w:val="single"/>
              </w:rPr>
              <w:t>, or</w:t>
            </w:r>
          </w:p>
          <w:p w:rsidR="00760853" w:rsidRPr="006B478D" w:rsidRDefault="00760853" w:rsidP="00CC2402">
            <w:pPr>
              <w:pStyle w:val="B2"/>
              <w:spacing w:before="0" w:after="0" w:line="240" w:lineRule="auto"/>
              <w:ind w:leftChars="170" w:left="340"/>
              <w:rPr>
                <w:rFonts w:ascii="Times New Roman" w:hAnsi="Times New Roman"/>
                <w:color w:val="FF0000"/>
                <w:u w:val="single"/>
              </w:rPr>
            </w:pPr>
            <w:r w:rsidRPr="006B478D">
              <w:rPr>
                <w:rFonts w:ascii="Times New Roman" w:hAnsi="Times New Roman"/>
                <w:color w:val="FF0000"/>
                <w:u w:val="single"/>
              </w:rPr>
              <w:t>-</w:t>
            </w:r>
            <w:r w:rsidRPr="006B478D">
              <w:rPr>
                <w:rFonts w:ascii="Times New Roman" w:hAnsi="Times New Roman"/>
                <w:color w:val="FF0000"/>
                <w:u w:val="single"/>
              </w:rPr>
              <w:tab/>
              <w:t xml:space="preserve">Configured in a serving cell with two uplink carriers with higher layer parameter </w:t>
            </w:r>
            <w:proofErr w:type="spellStart"/>
            <w:r w:rsidRPr="006B478D">
              <w:rPr>
                <w:rFonts w:ascii="Times New Roman" w:hAnsi="Times New Roman"/>
                <w:i/>
                <w:iCs/>
                <w:color w:val="FF0000"/>
                <w:u w:val="single"/>
              </w:rPr>
              <w:t>supplementaryUplink</w:t>
            </w:r>
            <w:proofErr w:type="spellEnd"/>
            <w:r w:rsidRPr="006B478D">
              <w:rPr>
                <w:rFonts w:ascii="Times New Roman" w:hAnsi="Times New Roman"/>
                <w:i/>
                <w:iCs/>
                <w:color w:val="FF0000"/>
                <w:u w:val="single"/>
              </w:rPr>
              <w:t>,</w:t>
            </w:r>
          </w:p>
          <w:p w:rsidR="006B478D" w:rsidRPr="006B478D" w:rsidRDefault="00760853" w:rsidP="00CC2402">
            <w:pPr>
              <w:pStyle w:val="B2"/>
              <w:spacing w:before="0" w:after="0" w:line="240" w:lineRule="auto"/>
              <w:ind w:left="0"/>
              <w:rPr>
                <w:rFonts w:ascii="Times New Roman" w:hAnsi="Times New Roman"/>
                <w:color w:val="FF0000"/>
                <w:u w:val="single"/>
                <w:lang w:eastAsia="zh-CN"/>
              </w:rPr>
            </w:pPr>
            <w:r w:rsidRPr="006B478D">
              <w:rPr>
                <w:rFonts w:ascii="Times New Roman" w:hAnsi="Times New Roman"/>
                <w:color w:val="FF0000"/>
                <w:u w:val="single"/>
                <w:lang w:eastAsia="zh-CN"/>
              </w:rPr>
              <w:t xml:space="preserve">if the UE is configured with uplink switching with parameter </w:t>
            </w:r>
            <w:proofErr w:type="spellStart"/>
            <w:r w:rsidRPr="006B478D">
              <w:rPr>
                <w:rFonts w:ascii="Times New Roman" w:hAnsi="Times New Roman"/>
                <w:i/>
                <w:color w:val="FF0000"/>
                <w:u w:val="single"/>
                <w:lang w:eastAsia="zh-CN"/>
              </w:rPr>
              <w:t>uplinkTxSwitching</w:t>
            </w:r>
            <w:proofErr w:type="spellEnd"/>
            <w:r w:rsidRPr="006B478D">
              <w:rPr>
                <w:rFonts w:ascii="Times New Roman" w:hAnsi="Times New Roman"/>
                <w:color w:val="FF0000"/>
                <w:u w:val="single"/>
                <w:lang w:eastAsia="zh-CN"/>
              </w:rPr>
              <w:t xml:space="preserve">, </w:t>
            </w:r>
            <w:r w:rsidR="006B478D" w:rsidRPr="006B478D">
              <w:rPr>
                <w:rFonts w:ascii="Times New Roman" w:hAnsi="Times New Roman"/>
                <w:color w:val="FF0000"/>
                <w:u w:val="single"/>
                <w:lang w:eastAsia="zh-CN"/>
              </w:rPr>
              <w:t>the UE is not expected to be scheduled or configured with simultaneous transmissions on the two uplink bands.</w:t>
            </w:r>
          </w:p>
          <w:p w:rsidR="00760853" w:rsidRPr="006B478D" w:rsidRDefault="00760853" w:rsidP="00CC2402">
            <w:pPr>
              <w:pStyle w:val="B2"/>
              <w:spacing w:before="0" w:after="0" w:line="240" w:lineRule="auto"/>
              <w:ind w:left="0"/>
              <w:rPr>
                <w:rFonts w:ascii="Times New Roman" w:hAnsi="Times New Roman"/>
                <w:lang w:eastAsia="zh-CN"/>
              </w:rPr>
            </w:pPr>
          </w:p>
        </w:tc>
      </w:tr>
    </w:tbl>
    <w:p w:rsidR="00760853" w:rsidRDefault="00760853">
      <w:pPr>
        <w:rPr>
          <w:lang w:val="en-GB" w:eastAsia="zh-CN"/>
        </w:rPr>
      </w:pPr>
    </w:p>
    <w:p w:rsidR="00CC2402" w:rsidRDefault="00CC2402">
      <w:pPr>
        <w:rPr>
          <w:lang w:val="en-GB" w:eastAsia="zh-CN"/>
        </w:rPr>
      </w:pPr>
    </w:p>
    <w:p w:rsidR="00890BD2" w:rsidRDefault="00243E4E">
      <w:pPr>
        <w:pStyle w:val="1"/>
        <w:rPr>
          <w:lang w:eastAsia="zh-CN"/>
        </w:rPr>
      </w:pPr>
      <w:r>
        <w:rPr>
          <w:rFonts w:hint="eastAsia"/>
          <w:lang w:eastAsia="zh-CN"/>
        </w:rPr>
        <w:t>C</w:t>
      </w:r>
      <w:r>
        <w:rPr>
          <w:lang w:eastAsia="zh-CN"/>
        </w:rPr>
        <w:t>onclusion</w:t>
      </w:r>
    </w:p>
    <w:p w:rsidR="00890BD2" w:rsidRPr="00CC2402" w:rsidRDefault="00CC2402">
      <w:pPr>
        <w:rPr>
          <w:lang w:val="en-GB" w:eastAsia="zh-CN"/>
        </w:rPr>
      </w:pPr>
      <w:r w:rsidRPr="00CC2402">
        <w:rPr>
          <w:rFonts w:hint="eastAsia"/>
          <w:lang w:val="en-GB" w:eastAsia="zh-CN"/>
        </w:rPr>
        <w:t>I</w:t>
      </w:r>
      <w:r w:rsidRPr="00CC2402">
        <w:rPr>
          <w:lang w:val="en-GB" w:eastAsia="zh-CN"/>
        </w:rPr>
        <w:t xml:space="preserve">n this contribution, the observations and TPs for switched UL CA and SUL for non-simultaneous transmission on two UL bands are discussed. </w:t>
      </w:r>
    </w:p>
    <w:p w:rsidR="00CC2402" w:rsidRPr="00760853" w:rsidRDefault="00CC2402" w:rsidP="00CC2402">
      <w:pPr>
        <w:rPr>
          <w:i/>
          <w:lang w:val="en-GB" w:eastAsia="zh-CN"/>
        </w:rPr>
      </w:pPr>
      <w:r w:rsidRPr="00760853">
        <w:rPr>
          <w:rFonts w:hint="eastAsia"/>
          <w:b/>
          <w:i/>
          <w:lang w:val="en-GB" w:eastAsia="zh-CN"/>
        </w:rPr>
        <w:t>O</w:t>
      </w:r>
      <w:r w:rsidRPr="00760853">
        <w:rPr>
          <w:b/>
          <w:i/>
          <w:lang w:val="en-GB" w:eastAsia="zh-CN"/>
        </w:rPr>
        <w:t>bservation</w:t>
      </w:r>
      <w:r>
        <w:rPr>
          <w:b/>
          <w:i/>
          <w:lang w:val="en-GB" w:eastAsia="zh-CN"/>
        </w:rPr>
        <w:t xml:space="preserve"> 1</w:t>
      </w:r>
      <w:r w:rsidRPr="00760853">
        <w:rPr>
          <w:i/>
          <w:lang w:val="en-GB" w:eastAsia="zh-CN"/>
        </w:rPr>
        <w:t>:</w:t>
      </w:r>
      <w:r w:rsidRPr="00760853">
        <w:rPr>
          <w:rFonts w:hint="eastAsia"/>
          <w:i/>
          <w:lang w:val="en-GB" w:eastAsia="zh-CN"/>
        </w:rPr>
        <w:t xml:space="preserve"> </w:t>
      </w:r>
      <w:r w:rsidRPr="00760853">
        <w:rPr>
          <w:i/>
          <w:lang w:val="en-GB" w:eastAsia="zh-CN"/>
        </w:rPr>
        <w:t xml:space="preserve">The followings </w:t>
      </w:r>
      <w:r>
        <w:rPr>
          <w:i/>
          <w:lang w:val="en-GB" w:eastAsia="zh-CN"/>
        </w:rPr>
        <w:t xml:space="preserve">for UL Tx switching for SUL </w:t>
      </w:r>
      <w:r w:rsidRPr="00760853">
        <w:rPr>
          <w:i/>
          <w:lang w:val="en-GB" w:eastAsia="zh-CN"/>
        </w:rPr>
        <w:t>are missing in the Rel-16/17 specification.</w:t>
      </w:r>
    </w:p>
    <w:p w:rsidR="00CC2402" w:rsidRPr="00760853" w:rsidRDefault="00CC2402" w:rsidP="00CC2402">
      <w:pPr>
        <w:pStyle w:val="a"/>
        <w:numPr>
          <w:ilvl w:val="0"/>
          <w:numId w:val="39"/>
        </w:numPr>
        <w:rPr>
          <w:i/>
          <w:lang w:eastAsia="zh-CN"/>
        </w:rPr>
      </w:pPr>
      <w:r w:rsidRPr="00760853">
        <w:rPr>
          <w:rFonts w:eastAsiaTheme="minorEastAsia" w:hint="eastAsia"/>
          <w:i/>
          <w:lang w:eastAsia="zh-CN"/>
        </w:rPr>
        <w:t>F</w:t>
      </w:r>
      <w:r w:rsidRPr="00760853">
        <w:rPr>
          <w:rFonts w:eastAsiaTheme="minorEastAsia"/>
          <w:i/>
          <w:lang w:eastAsia="zh-CN"/>
        </w:rPr>
        <w:t xml:space="preserve">or UE configured with Rel-16/Rel-17 UL Tx switching for SUL, UE is not allowed to perform “1P+1P” (i.e., simultaneous transmissions) on SUL (i.e., SUL#1 in the following table) and its corresponding NUL (i.e., NUL#2 in the following table) even if UE indicates support of </w:t>
      </w:r>
      <w:proofErr w:type="spellStart"/>
      <w:r w:rsidRPr="00760853">
        <w:rPr>
          <w:rFonts w:eastAsiaTheme="minorEastAsia"/>
          <w:i/>
          <w:lang w:eastAsia="zh-CN"/>
        </w:rPr>
        <w:t>simultaneousTxSUL-NonSUL</w:t>
      </w:r>
      <w:proofErr w:type="spellEnd"/>
      <w:r w:rsidRPr="00760853">
        <w:rPr>
          <w:rFonts w:eastAsiaTheme="minorEastAsia"/>
          <w:i/>
          <w:lang w:eastAsia="zh-CN"/>
        </w:rPr>
        <w:t>.</w:t>
      </w:r>
    </w:p>
    <w:p w:rsidR="00CC2402" w:rsidRPr="00760853" w:rsidRDefault="00CC2402" w:rsidP="00CC2402">
      <w:pPr>
        <w:pStyle w:val="a"/>
        <w:numPr>
          <w:ilvl w:val="0"/>
          <w:numId w:val="39"/>
        </w:numPr>
        <w:rPr>
          <w:i/>
          <w:lang w:eastAsia="zh-CN"/>
        </w:rPr>
      </w:pPr>
      <w:r w:rsidRPr="00760853">
        <w:rPr>
          <w:rFonts w:eastAsiaTheme="minorEastAsia" w:hint="eastAsia"/>
          <w:i/>
          <w:lang w:eastAsia="zh-CN"/>
        </w:rPr>
        <w:t>F</w:t>
      </w:r>
      <w:r w:rsidRPr="00760853">
        <w:rPr>
          <w:rFonts w:eastAsiaTheme="minorEastAsia"/>
          <w:i/>
          <w:lang w:eastAsia="zh-CN"/>
        </w:rPr>
        <w:t>or UE configured with Rel-17 UL Tx switching for SUL, UE is not allowed to perform “1P+1P” (i.e., simultaneous transmissions) on SUL (i.e., SUL#1 in the following table) and the non-corresponding NUL (i.e., UL#3 in the following table).</w:t>
      </w:r>
    </w:p>
    <w:tbl>
      <w:tblPr>
        <w:tblStyle w:val="af9"/>
        <w:tblW w:w="0" w:type="auto"/>
        <w:tblLook w:val="04A0" w:firstRow="1" w:lastRow="0" w:firstColumn="1" w:lastColumn="0" w:noHBand="0" w:noVBand="1"/>
      </w:tblPr>
      <w:tblGrid>
        <w:gridCol w:w="4814"/>
        <w:gridCol w:w="4814"/>
      </w:tblGrid>
      <w:tr w:rsidR="00CC2402" w:rsidTr="00CC2402">
        <w:tc>
          <w:tcPr>
            <w:tcW w:w="4814" w:type="dxa"/>
            <w:shd w:val="clear" w:color="auto" w:fill="5B9BD5" w:themeFill="accent1"/>
          </w:tcPr>
          <w:p w:rsidR="00CC2402" w:rsidRDefault="00CC2402" w:rsidP="00CC2402">
            <w:pPr>
              <w:spacing w:before="0" w:after="0" w:line="240" w:lineRule="auto"/>
              <w:jc w:val="center"/>
              <w:rPr>
                <w:lang w:val="en-GB" w:eastAsia="zh-CN"/>
              </w:rPr>
            </w:pPr>
            <w:r>
              <w:rPr>
                <w:rFonts w:hint="eastAsia"/>
                <w:lang w:val="en-GB" w:eastAsia="zh-CN"/>
              </w:rPr>
              <w:t>R</w:t>
            </w:r>
            <w:r>
              <w:rPr>
                <w:lang w:val="en-GB" w:eastAsia="zh-CN"/>
              </w:rPr>
              <w:t>el-16 UL Tx switching for SUL</w:t>
            </w:r>
          </w:p>
        </w:tc>
        <w:tc>
          <w:tcPr>
            <w:tcW w:w="4814" w:type="dxa"/>
            <w:shd w:val="clear" w:color="auto" w:fill="5B9BD5" w:themeFill="accent1"/>
          </w:tcPr>
          <w:p w:rsidR="00CC2402" w:rsidRDefault="00CC2402" w:rsidP="00CC2402">
            <w:pPr>
              <w:spacing w:before="0" w:after="0" w:line="240" w:lineRule="auto"/>
              <w:jc w:val="center"/>
              <w:rPr>
                <w:lang w:val="en-GB" w:eastAsia="zh-CN"/>
              </w:rPr>
            </w:pPr>
            <w:r>
              <w:rPr>
                <w:rFonts w:hint="eastAsia"/>
                <w:lang w:val="en-GB" w:eastAsia="zh-CN"/>
              </w:rPr>
              <w:t>R</w:t>
            </w:r>
            <w:r>
              <w:rPr>
                <w:lang w:val="en-GB" w:eastAsia="zh-CN"/>
              </w:rPr>
              <w:t>el-17 UL Tx switching for SUL</w:t>
            </w:r>
          </w:p>
        </w:tc>
      </w:tr>
      <w:tr w:rsidR="00CC2402" w:rsidTr="00DC1248">
        <w:tc>
          <w:tcPr>
            <w:tcW w:w="4814" w:type="dxa"/>
          </w:tcPr>
          <w:p w:rsidR="00CC2402" w:rsidRDefault="00CC2402" w:rsidP="00CC2402">
            <w:pPr>
              <w:spacing w:before="0" w:after="0" w:line="240" w:lineRule="auto"/>
              <w:jc w:val="center"/>
              <w:rPr>
                <w:lang w:val="en-GB" w:eastAsia="zh-CN"/>
              </w:rPr>
            </w:pPr>
            <w:r>
              <w:rPr>
                <w:rFonts w:ascii="Times New Roman" w:hAnsi="Times New Roman"/>
              </w:rPr>
              <w:object w:dxaOrig="3436" w:dyaOrig="1171">
                <v:shape id="_x0000_i1029" type="#_x0000_t75" style="width:171.9pt;height:58.7pt" o:ole="">
                  <v:imagedata r:id="rId13" o:title=""/>
                </v:shape>
                <o:OLEObject Type="Embed" ProgID="Visio.Drawing.15" ShapeID="_x0000_i1029" DrawAspect="Content" ObjectID="_1729063394" r:id="rId20"/>
              </w:object>
            </w:r>
          </w:p>
        </w:tc>
        <w:tc>
          <w:tcPr>
            <w:tcW w:w="4814" w:type="dxa"/>
          </w:tcPr>
          <w:p w:rsidR="00CC2402" w:rsidRDefault="00CC2402" w:rsidP="00CC2402">
            <w:pPr>
              <w:spacing w:before="0" w:after="0" w:line="240" w:lineRule="auto"/>
              <w:jc w:val="center"/>
              <w:rPr>
                <w:lang w:val="en-GB" w:eastAsia="zh-CN"/>
              </w:rPr>
            </w:pPr>
            <w:r>
              <w:rPr>
                <w:rFonts w:ascii="Times New Roman" w:hAnsi="Times New Roman"/>
              </w:rPr>
              <w:object w:dxaOrig="3661" w:dyaOrig="1740">
                <v:shape id="_x0000_i1030" type="#_x0000_t75" style="width:183.1pt;height:87pt" o:ole="">
                  <v:imagedata r:id="rId15" o:title=""/>
                </v:shape>
                <o:OLEObject Type="Embed" ProgID="Visio.Drawing.15" ShapeID="_x0000_i1030" DrawAspect="Content" ObjectID="_1729063395" r:id="rId21"/>
              </w:object>
            </w:r>
          </w:p>
        </w:tc>
      </w:tr>
    </w:tbl>
    <w:p w:rsidR="00CC2402" w:rsidRDefault="00CC2402">
      <w:pPr>
        <w:rPr>
          <w:i/>
          <w:lang w:val="en-GB" w:eastAsia="zh-CN"/>
        </w:rPr>
      </w:pPr>
    </w:p>
    <w:p w:rsidR="00CC2402" w:rsidRDefault="00CC2402">
      <w:pPr>
        <w:rPr>
          <w:i/>
          <w:lang w:val="en-GB" w:eastAsia="zh-CN"/>
        </w:rPr>
      </w:pPr>
    </w:p>
    <w:p w:rsidR="00CC2402" w:rsidRPr="00CC2402" w:rsidRDefault="00CC2402" w:rsidP="00CC2402">
      <w:pPr>
        <w:rPr>
          <w:i/>
          <w:lang w:val="en-GB" w:eastAsia="zh-CN"/>
        </w:rPr>
      </w:pPr>
      <w:r w:rsidRPr="00CC2402">
        <w:rPr>
          <w:rFonts w:hint="eastAsia"/>
          <w:b/>
          <w:i/>
          <w:lang w:val="en-GB" w:eastAsia="zh-CN"/>
        </w:rPr>
        <w:lastRenderedPageBreak/>
        <w:t>P</w:t>
      </w:r>
      <w:r w:rsidRPr="00CC2402">
        <w:rPr>
          <w:b/>
          <w:i/>
          <w:lang w:val="en-GB" w:eastAsia="zh-CN"/>
        </w:rPr>
        <w:t>roposal 1</w:t>
      </w:r>
      <w:r w:rsidRPr="00CC2402">
        <w:rPr>
          <w:i/>
          <w:lang w:val="en-GB" w:eastAsia="zh-CN"/>
        </w:rPr>
        <w:t>: RAN1 adopts the following TP for Rel-16 and Rel-17 UL Tx switching in TS38.214.</w:t>
      </w:r>
    </w:p>
    <w:p w:rsidR="00CC2402" w:rsidRPr="00CC2402" w:rsidRDefault="00CC2402" w:rsidP="00CC2402">
      <w:pPr>
        <w:pStyle w:val="a"/>
        <w:numPr>
          <w:ilvl w:val="0"/>
          <w:numId w:val="41"/>
        </w:numPr>
        <w:rPr>
          <w:b/>
          <w:u w:val="single"/>
          <w:lang w:eastAsia="zh-CN"/>
        </w:rPr>
      </w:pPr>
      <w:r w:rsidRPr="00CC2402">
        <w:rPr>
          <w:rFonts w:hint="eastAsia"/>
          <w:b/>
          <w:u w:val="single"/>
          <w:lang w:eastAsia="zh-CN"/>
        </w:rPr>
        <w:t>R</w:t>
      </w:r>
      <w:r w:rsidRPr="00CC2402">
        <w:rPr>
          <w:b/>
          <w:u w:val="single"/>
          <w:lang w:eastAsia="zh-CN"/>
        </w:rPr>
        <w:t xml:space="preserve">eason for change: </w:t>
      </w:r>
    </w:p>
    <w:tbl>
      <w:tblPr>
        <w:tblStyle w:val="af9"/>
        <w:tblW w:w="0" w:type="auto"/>
        <w:tblLook w:val="04A0" w:firstRow="1" w:lastRow="0" w:firstColumn="1" w:lastColumn="0" w:noHBand="0" w:noVBand="1"/>
      </w:tblPr>
      <w:tblGrid>
        <w:gridCol w:w="9628"/>
      </w:tblGrid>
      <w:tr w:rsidR="00CC2402" w:rsidRPr="00CC2402" w:rsidTr="00DC1248">
        <w:tc>
          <w:tcPr>
            <w:tcW w:w="9628" w:type="dxa"/>
          </w:tcPr>
          <w:p w:rsidR="00CC2402" w:rsidRPr="00CC2402" w:rsidRDefault="00CC2402" w:rsidP="00DC1248">
            <w:pPr>
              <w:spacing w:before="0" w:after="0" w:line="240" w:lineRule="auto"/>
              <w:rPr>
                <w:rFonts w:ascii="Times New Roman" w:hAnsi="Times New Roman"/>
                <w:lang w:val="en-GB" w:eastAsia="zh-CN"/>
              </w:rPr>
            </w:pPr>
            <w:r w:rsidRPr="00CC2402">
              <w:rPr>
                <w:rFonts w:ascii="Times New Roman" w:hAnsi="Times New Roman"/>
                <w:lang w:val="en-GB" w:eastAsia="zh-CN"/>
              </w:rPr>
              <w:t>The followings for UL Tx switching for SUL are missing in the Rel-16/17 specification.</w:t>
            </w:r>
          </w:p>
          <w:p w:rsidR="00CC2402" w:rsidRPr="00CC2402" w:rsidRDefault="00CC2402" w:rsidP="00CC2402">
            <w:pPr>
              <w:pStyle w:val="a"/>
              <w:numPr>
                <w:ilvl w:val="0"/>
                <w:numId w:val="40"/>
              </w:numPr>
              <w:spacing w:before="0" w:after="0" w:line="240" w:lineRule="auto"/>
              <w:rPr>
                <w:rFonts w:ascii="Times New Roman" w:hAnsi="Times New Roman"/>
                <w:lang w:eastAsia="zh-CN"/>
              </w:rPr>
            </w:pPr>
            <w:r w:rsidRPr="00CC2402">
              <w:rPr>
                <w:rFonts w:ascii="Times New Roman" w:eastAsiaTheme="minorEastAsia" w:hAnsi="Times New Roman"/>
                <w:lang w:eastAsia="zh-CN"/>
              </w:rPr>
              <w:t xml:space="preserve">For UE configured with Rel-16/Rel-17 UL Tx switching for SUL, UE is not allowed to perform “1P+1P” (i.e., simultaneous transmissions) on SUL (i.e., SUL#1 in the following table) and its corresponding NUL (i.e., NUL#2 in the following table) even if UE indicates support of </w:t>
            </w:r>
            <w:proofErr w:type="spellStart"/>
            <w:r w:rsidRPr="00CC2402">
              <w:rPr>
                <w:rFonts w:ascii="Times New Roman" w:eastAsiaTheme="minorEastAsia" w:hAnsi="Times New Roman"/>
                <w:lang w:eastAsia="zh-CN"/>
              </w:rPr>
              <w:t>simultaneousTxSUL-NonSUL</w:t>
            </w:r>
            <w:proofErr w:type="spellEnd"/>
            <w:r w:rsidRPr="00CC2402">
              <w:rPr>
                <w:rFonts w:ascii="Times New Roman" w:eastAsiaTheme="minorEastAsia" w:hAnsi="Times New Roman"/>
                <w:lang w:eastAsia="zh-CN"/>
              </w:rPr>
              <w:t>.</w:t>
            </w:r>
          </w:p>
          <w:p w:rsidR="00CC2402" w:rsidRPr="00CC2402" w:rsidRDefault="00CC2402" w:rsidP="00CC2402">
            <w:pPr>
              <w:pStyle w:val="a"/>
              <w:numPr>
                <w:ilvl w:val="0"/>
                <w:numId w:val="40"/>
              </w:numPr>
              <w:spacing w:before="0" w:after="0" w:line="240" w:lineRule="auto"/>
              <w:rPr>
                <w:rFonts w:ascii="Times New Roman" w:hAnsi="Times New Roman"/>
                <w:lang w:eastAsia="zh-CN"/>
              </w:rPr>
            </w:pPr>
            <w:r w:rsidRPr="00CC2402">
              <w:rPr>
                <w:rFonts w:ascii="Times New Roman" w:eastAsiaTheme="minorEastAsia" w:hAnsi="Times New Roman"/>
                <w:lang w:eastAsia="zh-CN"/>
              </w:rPr>
              <w:t>For UE configured with Rel-17 UL Tx switching for SUL, UE is not allowed to perform “1P+1P” (i.e., simultaneous transmissions) on SUL (i.e., SUL#1 in the following table) and the non-corresponding NUL (i.e., UL#3 in the following table).</w:t>
            </w:r>
          </w:p>
          <w:p w:rsidR="00CC2402" w:rsidRPr="00CC2402" w:rsidRDefault="00CC2402" w:rsidP="00DC1248">
            <w:pPr>
              <w:spacing w:before="0" w:after="0" w:line="240" w:lineRule="auto"/>
              <w:rPr>
                <w:rFonts w:ascii="Times New Roman" w:hAnsi="Times New Roman"/>
                <w:lang w:val="en-GB" w:eastAsia="zh-CN"/>
              </w:rPr>
            </w:pPr>
            <w:r w:rsidRPr="00CC2402">
              <w:rPr>
                <w:rFonts w:ascii="Times New Roman" w:hAnsi="Times New Roman"/>
                <w:lang w:val="en-GB" w:eastAsia="zh-CN"/>
              </w:rPr>
              <w:t xml:space="preserve">The details of UL Tx switching for </w:t>
            </w:r>
            <w:proofErr w:type="spellStart"/>
            <w:r w:rsidRPr="00CC2402">
              <w:rPr>
                <w:rFonts w:ascii="Times New Roman" w:hAnsi="Times New Roman"/>
                <w:lang w:val="en-GB" w:eastAsia="zh-CN"/>
              </w:rPr>
              <w:t>switchedUL</w:t>
            </w:r>
            <w:proofErr w:type="spellEnd"/>
            <w:r w:rsidRPr="00CC2402">
              <w:rPr>
                <w:rFonts w:ascii="Times New Roman" w:hAnsi="Times New Roman"/>
                <w:lang w:val="en-GB" w:eastAsia="zh-CN"/>
              </w:rPr>
              <w:t xml:space="preserve"> CA is missing in the Rel-16/17 specification</w:t>
            </w:r>
          </w:p>
        </w:tc>
      </w:tr>
    </w:tbl>
    <w:p w:rsidR="00CC2402" w:rsidRDefault="00CC2402" w:rsidP="00CC2402">
      <w:pPr>
        <w:rPr>
          <w:lang w:val="en-GB" w:eastAsia="zh-CN"/>
        </w:rPr>
      </w:pPr>
    </w:p>
    <w:p w:rsidR="00CC2402" w:rsidRPr="00CC2402" w:rsidRDefault="00CC2402" w:rsidP="00CC2402">
      <w:pPr>
        <w:pStyle w:val="a"/>
        <w:numPr>
          <w:ilvl w:val="0"/>
          <w:numId w:val="41"/>
        </w:numPr>
        <w:rPr>
          <w:b/>
          <w:u w:val="single"/>
          <w:lang w:eastAsia="zh-CN"/>
        </w:rPr>
      </w:pPr>
      <w:r w:rsidRPr="00CC2402">
        <w:rPr>
          <w:rFonts w:hint="eastAsia"/>
          <w:b/>
          <w:u w:val="single"/>
          <w:lang w:eastAsia="zh-CN"/>
        </w:rPr>
        <w:t>T</w:t>
      </w:r>
      <w:r w:rsidRPr="00CC2402">
        <w:rPr>
          <w:b/>
          <w:u w:val="single"/>
          <w:lang w:eastAsia="zh-CN"/>
        </w:rPr>
        <w:t>P in section 6.1.6 of TS38.214:</w:t>
      </w:r>
    </w:p>
    <w:tbl>
      <w:tblPr>
        <w:tblStyle w:val="af9"/>
        <w:tblW w:w="0" w:type="auto"/>
        <w:tblLook w:val="04A0" w:firstRow="1" w:lastRow="0" w:firstColumn="1" w:lastColumn="0" w:noHBand="0" w:noVBand="1"/>
      </w:tblPr>
      <w:tblGrid>
        <w:gridCol w:w="9628"/>
      </w:tblGrid>
      <w:tr w:rsidR="00CC2402" w:rsidRPr="006B478D" w:rsidTr="00DC1248">
        <w:tc>
          <w:tcPr>
            <w:tcW w:w="9628" w:type="dxa"/>
          </w:tcPr>
          <w:p w:rsidR="00CC2402" w:rsidRPr="006B478D" w:rsidRDefault="00CC2402" w:rsidP="00DC1248">
            <w:pPr>
              <w:pStyle w:val="3"/>
              <w:numPr>
                <w:ilvl w:val="0"/>
                <w:numId w:val="0"/>
              </w:numPr>
              <w:spacing w:before="0" w:after="0" w:line="240" w:lineRule="auto"/>
              <w:ind w:left="720" w:hanging="720"/>
              <w:outlineLvl w:val="2"/>
              <w:rPr>
                <w:rFonts w:ascii="Times New Roman" w:hAnsi="Times New Roman"/>
                <w:b/>
                <w:bCs/>
                <w:lang w:eastAsia="zh-CN"/>
              </w:rPr>
            </w:pPr>
            <w:r w:rsidRPr="006B478D">
              <w:rPr>
                <w:rFonts w:ascii="Times New Roman" w:hAnsi="Times New Roman"/>
                <w:b/>
                <w:bCs/>
              </w:rPr>
              <w:t>6.1.6</w:t>
            </w:r>
            <w:r w:rsidRPr="006B478D">
              <w:rPr>
                <w:rFonts w:ascii="Times New Roman" w:hAnsi="Times New Roman"/>
                <w:b/>
                <w:bCs/>
              </w:rPr>
              <w:tab/>
              <w:t>Uplink switching</w:t>
            </w:r>
          </w:p>
          <w:p w:rsidR="00CC2402" w:rsidRPr="006B478D" w:rsidRDefault="00CC2402" w:rsidP="00DC1248">
            <w:pPr>
              <w:spacing w:before="0" w:after="0" w:line="240" w:lineRule="auto"/>
              <w:rPr>
                <w:rFonts w:ascii="Times New Roman" w:hAnsi="Times New Roman"/>
              </w:rPr>
            </w:pPr>
            <w:r w:rsidRPr="006B478D">
              <w:rPr>
                <w:rFonts w:ascii="Times New Roman" w:hAnsi="Times New Roman"/>
              </w:rPr>
              <w:t xml:space="preserve">The UE may omit uplink transmission during the uplink switching gap </w:t>
            </w:r>
            <w:r w:rsidRPr="006B478D">
              <w:rPr>
                <w:noProof/>
              </w:rPr>
              <w:drawing>
                <wp:inline distT="0" distB="0" distL="0" distR="0" wp14:anchorId="10544636" wp14:editId="0C163F17">
                  <wp:extent cx="407035" cy="142875"/>
                  <wp:effectExtent l="0" t="0" r="0" b="9525"/>
                  <wp:docPr id="3" name="图片 3" descr="C:\Users\10240317\AppData\Local\Temp\ksohtml1345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0240317\AppData\Local\Temp\ksohtml13456\wps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035" cy="142875"/>
                          </a:xfrm>
                          <a:prstGeom prst="rect">
                            <a:avLst/>
                          </a:prstGeom>
                          <a:noFill/>
                          <a:ln>
                            <a:noFill/>
                          </a:ln>
                        </pic:spPr>
                      </pic:pic>
                    </a:graphicData>
                  </a:graphic>
                </wp:inline>
              </w:drawing>
            </w:r>
            <w:r w:rsidRPr="006B478D">
              <w:rPr>
                <w:rFonts w:ascii="Times New Roman" w:hAnsi="Times New Roman"/>
                <w:b/>
              </w:rPr>
              <w:t xml:space="preserve"> </w:t>
            </w:r>
            <w:r w:rsidRPr="006B478D">
              <w:rPr>
                <w:rFonts w:ascii="Times New Roman" w:hAnsi="Times New Roman"/>
              </w:rPr>
              <w:t xml:space="preserve">if the conditions defined in this clause are met and the UE is configured with </w:t>
            </w:r>
            <w:proofErr w:type="spellStart"/>
            <w:r w:rsidRPr="006B478D">
              <w:rPr>
                <w:rFonts w:ascii="Times New Roman" w:hAnsi="Times New Roman"/>
                <w:i/>
              </w:rPr>
              <w:t>uplinkTxSwitching</w:t>
            </w:r>
            <w:proofErr w:type="spellEnd"/>
            <w:r w:rsidRPr="006B478D">
              <w:rPr>
                <w:rFonts w:ascii="Times New Roman" w:hAnsi="Times New Roman"/>
              </w:rPr>
              <w:t xml:space="preserve">. The switching gap </w:t>
            </w:r>
            <w:r w:rsidRPr="006B478D">
              <w:rPr>
                <w:noProof/>
              </w:rPr>
              <w:drawing>
                <wp:inline distT="0" distB="0" distL="0" distR="0" wp14:anchorId="4C7F150B" wp14:editId="42572FF9">
                  <wp:extent cx="407035" cy="142875"/>
                  <wp:effectExtent l="0" t="0" r="0" b="9525"/>
                  <wp:docPr id="4" name="图片 4" descr="C:\Users\10240317\AppData\Local\Temp\ksohtml1345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0240317\AppData\Local\Temp\ksohtml13456\wps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035" cy="142875"/>
                          </a:xfrm>
                          <a:prstGeom prst="rect">
                            <a:avLst/>
                          </a:prstGeom>
                          <a:noFill/>
                          <a:ln>
                            <a:noFill/>
                          </a:ln>
                        </pic:spPr>
                      </pic:pic>
                    </a:graphicData>
                  </a:graphic>
                </wp:inline>
              </w:drawing>
            </w:r>
            <w:r w:rsidRPr="006B478D">
              <w:rPr>
                <w:rFonts w:ascii="Times New Roman" w:hAnsi="Times New Roman"/>
                <w:b/>
              </w:rPr>
              <w:t xml:space="preserve"> </w:t>
            </w:r>
            <w:r w:rsidRPr="006B478D">
              <w:rPr>
                <w:rFonts w:ascii="Times New Roman" w:hAnsi="Times New Roman"/>
              </w:rPr>
              <w:t xml:space="preserve">is indicated by UE capability </w:t>
            </w:r>
            <w:proofErr w:type="spellStart"/>
            <w:r w:rsidRPr="006B478D">
              <w:rPr>
                <w:rFonts w:ascii="Times New Roman" w:hAnsi="Times New Roman"/>
                <w:i/>
              </w:rPr>
              <w:t>uplinkTxSwitchingPeriod</w:t>
            </w:r>
            <w:proofErr w:type="spellEnd"/>
            <w:r w:rsidRPr="006B478D">
              <w:rPr>
                <w:rFonts w:ascii="Times New Roman" w:hAnsi="Times New Roman"/>
              </w:rPr>
              <w:t xml:space="preserve">: </w:t>
            </w:r>
          </w:p>
          <w:p w:rsidR="00CC2402" w:rsidRPr="006B478D" w:rsidRDefault="00CC2402" w:rsidP="00DC1248">
            <w:pPr>
              <w:pStyle w:val="B1"/>
              <w:spacing w:before="0" w:after="0" w:line="240" w:lineRule="auto"/>
              <w:rPr>
                <w:rFonts w:ascii="Times New Roman" w:hAnsi="Times New Roman"/>
              </w:rPr>
            </w:pPr>
            <w:r w:rsidRPr="006B478D">
              <w:rPr>
                <w:rFonts w:ascii="Times New Roman" w:hAnsi="Times New Roman"/>
              </w:rPr>
              <w:t>-</w:t>
            </w:r>
            <w:r w:rsidRPr="006B478D">
              <w:rPr>
                <w:rFonts w:ascii="Times New Roman" w:hAnsi="Times New Roman"/>
              </w:rPr>
              <w:tab/>
              <w:t xml:space="preserve">If a UE indicated a capability for uplink switching with </w:t>
            </w:r>
            <w:proofErr w:type="spellStart"/>
            <w:r w:rsidRPr="006B478D">
              <w:rPr>
                <w:rFonts w:ascii="Times New Roman" w:hAnsi="Times New Roman"/>
                <w:i/>
                <w:iCs/>
              </w:rPr>
              <w:t>BandCombination-UplinkTxSwitch</w:t>
            </w:r>
            <w:proofErr w:type="spellEnd"/>
            <w:r w:rsidRPr="006B478D">
              <w:rPr>
                <w:rFonts w:ascii="Times New Roman" w:hAnsi="Times New Roman"/>
              </w:rPr>
              <w:t xml:space="preserve"> for a band combination, and if it is for that band combination</w:t>
            </w:r>
          </w:p>
          <w:p w:rsidR="00CC2402" w:rsidRPr="006B478D" w:rsidRDefault="00CC2402" w:rsidP="00DC1248">
            <w:pPr>
              <w:pStyle w:val="B2"/>
              <w:spacing w:before="0" w:after="0" w:line="240" w:lineRule="auto"/>
              <w:rPr>
                <w:rFonts w:ascii="Times New Roman" w:hAnsi="Times New Roman"/>
              </w:rPr>
            </w:pPr>
            <w:r w:rsidRPr="006B478D">
              <w:rPr>
                <w:rFonts w:ascii="Times New Roman" w:hAnsi="Times New Roman"/>
              </w:rPr>
              <w:t>-</w:t>
            </w:r>
            <w:r w:rsidRPr="006B478D">
              <w:rPr>
                <w:rFonts w:ascii="Times New Roman" w:hAnsi="Times New Roman"/>
              </w:rPr>
              <w:tab/>
              <w:t xml:space="preserve">Configured with </w:t>
            </w:r>
            <w:proofErr w:type="gramStart"/>
            <w:r w:rsidRPr="006B478D">
              <w:rPr>
                <w:rFonts w:ascii="Times New Roman" w:hAnsi="Times New Roman"/>
              </w:rPr>
              <w:t>a</w:t>
            </w:r>
            <w:proofErr w:type="gramEnd"/>
            <w:r w:rsidRPr="006B478D">
              <w:rPr>
                <w:rFonts w:ascii="Times New Roman" w:hAnsi="Times New Roman"/>
              </w:rPr>
              <w:t xml:space="preserve"> MCG using E-UTRA radio access and with a SCG using NR radio access (EN-DC), or</w:t>
            </w:r>
          </w:p>
          <w:p w:rsidR="00CC2402" w:rsidRPr="006B478D" w:rsidRDefault="00CC2402" w:rsidP="00DC1248">
            <w:pPr>
              <w:pStyle w:val="B2"/>
              <w:spacing w:before="0" w:after="0" w:line="240" w:lineRule="auto"/>
              <w:rPr>
                <w:rFonts w:ascii="Times New Roman" w:hAnsi="Times New Roman"/>
              </w:rPr>
            </w:pPr>
            <w:r w:rsidRPr="006B478D">
              <w:rPr>
                <w:rFonts w:ascii="Times New Roman" w:hAnsi="Times New Roman"/>
              </w:rPr>
              <w:t>-</w:t>
            </w:r>
            <w:r w:rsidRPr="006B478D">
              <w:rPr>
                <w:rFonts w:ascii="Times New Roman" w:hAnsi="Times New Roman"/>
              </w:rPr>
              <w:tab/>
              <w:t>Configured with uplink carrier aggregation, or</w:t>
            </w:r>
          </w:p>
          <w:p w:rsidR="00CC2402" w:rsidRPr="006B478D" w:rsidRDefault="00CC2402" w:rsidP="00DC1248">
            <w:pPr>
              <w:pStyle w:val="B2"/>
              <w:spacing w:before="0" w:after="0" w:line="240" w:lineRule="auto"/>
              <w:rPr>
                <w:rFonts w:ascii="Times New Roman" w:hAnsi="Times New Roman"/>
              </w:rPr>
            </w:pPr>
            <w:r w:rsidRPr="006B478D">
              <w:rPr>
                <w:rFonts w:ascii="Times New Roman" w:hAnsi="Times New Roman"/>
              </w:rPr>
              <w:t>-</w:t>
            </w:r>
            <w:r w:rsidRPr="006B478D">
              <w:rPr>
                <w:rFonts w:ascii="Times New Roman" w:hAnsi="Times New Roman"/>
              </w:rPr>
              <w:tab/>
              <w:t xml:space="preserve">Configured in a serving cell with two uplink carriers with higher layer parameter </w:t>
            </w:r>
            <w:proofErr w:type="spellStart"/>
            <w:r w:rsidRPr="006B478D">
              <w:rPr>
                <w:rFonts w:ascii="Times New Roman" w:hAnsi="Times New Roman"/>
                <w:i/>
                <w:iCs/>
              </w:rPr>
              <w:t>supplementaryUplink</w:t>
            </w:r>
            <w:proofErr w:type="spellEnd"/>
            <w:r w:rsidRPr="006B478D">
              <w:rPr>
                <w:rFonts w:ascii="Times New Roman" w:hAnsi="Times New Roman"/>
              </w:rPr>
              <w:t>.</w:t>
            </w:r>
          </w:p>
          <w:p w:rsidR="00CC2402" w:rsidRPr="006B478D" w:rsidRDefault="00CC2402" w:rsidP="00DC1248">
            <w:pPr>
              <w:pStyle w:val="B2"/>
              <w:spacing w:before="0" w:after="0" w:line="240" w:lineRule="auto"/>
              <w:rPr>
                <w:rFonts w:ascii="Times New Roman" w:hAnsi="Times New Roman"/>
              </w:rPr>
            </w:pPr>
            <w:r w:rsidRPr="006B478D">
              <w:rPr>
                <w:rFonts w:ascii="Times New Roman" w:hAnsi="Times New Roman"/>
              </w:rPr>
              <w:tab/>
              <w:t>the conditions under which the switching gap may be present and the location of the switching gap are defined for each of the cases in clauses 6.1.6.1, 6.1.6.2, and 6.1.6.3 respectively.</w:t>
            </w:r>
          </w:p>
          <w:p w:rsidR="00CC2402" w:rsidRPr="006B478D" w:rsidRDefault="00CC2402" w:rsidP="00DC1248">
            <w:pPr>
              <w:spacing w:before="0" w:after="0" w:line="240" w:lineRule="auto"/>
              <w:rPr>
                <w:rFonts w:ascii="Times New Roman" w:hAnsi="Times New Roman"/>
              </w:rPr>
            </w:pPr>
            <w:r w:rsidRPr="006B478D">
              <w:rPr>
                <w:rFonts w:ascii="Times New Roman" w:hAnsi="Times New Roman"/>
              </w:rPr>
              <w:t xml:space="preserve">If an uplink switching is triggered for an uplink transmission starting at </w:t>
            </w:r>
            <w:r w:rsidRPr="006B478D">
              <w:rPr>
                <w:rFonts w:ascii="Times New Roman" w:hAnsi="Times New Roman"/>
                <w:i/>
              </w:rPr>
              <w:t>T</w:t>
            </w:r>
            <w:r w:rsidRPr="006B478D">
              <w:rPr>
                <w:rFonts w:ascii="Times New Roman" w:hAnsi="Times New Roman"/>
                <w:i/>
                <w:vertAlign w:val="subscript"/>
              </w:rPr>
              <w:t>0</w:t>
            </w:r>
            <w:r w:rsidRPr="006B478D">
              <w:rPr>
                <w:rFonts w:ascii="Times New Roman" w:hAnsi="Times New Roman"/>
              </w:rPr>
              <w:t xml:space="preserve">, after </w:t>
            </w:r>
            <w:r w:rsidRPr="006B478D">
              <w:rPr>
                <w:rFonts w:ascii="Times New Roman" w:hAnsi="Times New Roman"/>
                <w:i/>
              </w:rPr>
              <w:t>T</w:t>
            </w:r>
            <w:r w:rsidRPr="006B478D">
              <w:rPr>
                <w:rFonts w:ascii="Times New Roman" w:hAnsi="Times New Roman"/>
                <w:i/>
                <w:vertAlign w:val="subscript"/>
              </w:rPr>
              <w:t>0</w:t>
            </w:r>
            <w:r w:rsidRPr="006B478D">
              <w:rPr>
                <w:rFonts w:ascii="Times New Roman" w:hAnsi="Times New Roman"/>
                <w:i/>
              </w:rPr>
              <w:t>-T</w:t>
            </w:r>
            <w:r w:rsidRPr="006B478D">
              <w:rPr>
                <w:rFonts w:ascii="Times New Roman" w:hAnsi="Times New Roman"/>
                <w:i/>
                <w:vertAlign w:val="subscript"/>
              </w:rPr>
              <w:t>offset</w:t>
            </w:r>
            <w:r w:rsidRPr="006B478D">
              <w:rPr>
                <w:rFonts w:ascii="Times New Roman" w:hAnsi="Times New Roman"/>
              </w:rPr>
              <w:t xml:space="preserve">, the UE is not expected to cancel the uplink switching, or to trigger any other new uplink switching occurring before </w:t>
            </w:r>
            <w:r w:rsidRPr="006B478D">
              <w:rPr>
                <w:rFonts w:ascii="Times New Roman" w:hAnsi="Times New Roman"/>
                <w:i/>
              </w:rPr>
              <w:t>T</w:t>
            </w:r>
            <w:r w:rsidRPr="006B478D">
              <w:rPr>
                <w:rFonts w:ascii="Times New Roman" w:hAnsi="Times New Roman"/>
                <w:i/>
                <w:vertAlign w:val="subscript"/>
              </w:rPr>
              <w:t>0</w:t>
            </w:r>
            <w:r w:rsidRPr="006B478D">
              <w:rPr>
                <w:rFonts w:ascii="Times New Roman" w:hAnsi="Times New Roman"/>
              </w:rPr>
              <w:t xml:space="preserve"> for any other uplink transmission that is scheduled after </w:t>
            </w:r>
            <w:r w:rsidRPr="006B478D">
              <w:rPr>
                <w:rFonts w:ascii="Times New Roman" w:hAnsi="Times New Roman"/>
                <w:i/>
              </w:rPr>
              <w:t>T</w:t>
            </w:r>
            <w:r w:rsidRPr="006B478D">
              <w:rPr>
                <w:rFonts w:ascii="Times New Roman" w:hAnsi="Times New Roman"/>
                <w:i/>
                <w:vertAlign w:val="subscript"/>
              </w:rPr>
              <w:t>0</w:t>
            </w:r>
            <w:r w:rsidRPr="006B478D">
              <w:rPr>
                <w:rFonts w:ascii="Times New Roman" w:hAnsi="Times New Roman"/>
                <w:i/>
              </w:rPr>
              <w:t>-T</w:t>
            </w:r>
            <w:r w:rsidRPr="006B478D">
              <w:rPr>
                <w:rFonts w:ascii="Times New Roman" w:hAnsi="Times New Roman"/>
                <w:i/>
                <w:vertAlign w:val="subscript"/>
              </w:rPr>
              <w:t>offset</w:t>
            </w:r>
            <w:r w:rsidRPr="006B478D">
              <w:rPr>
                <w:rFonts w:ascii="Times New Roman" w:hAnsi="Times New Roman"/>
              </w:rPr>
              <w:t xml:space="preserve">, where </w:t>
            </w:r>
            <w:proofErr w:type="spellStart"/>
            <w:r w:rsidRPr="006B478D">
              <w:rPr>
                <w:rFonts w:ascii="Times New Roman" w:hAnsi="Times New Roman"/>
                <w:i/>
              </w:rPr>
              <w:t>T</w:t>
            </w:r>
            <w:r w:rsidRPr="006B478D">
              <w:rPr>
                <w:rFonts w:ascii="Times New Roman" w:hAnsi="Times New Roman"/>
                <w:i/>
                <w:vertAlign w:val="subscript"/>
              </w:rPr>
              <w:t>offset</w:t>
            </w:r>
            <w:proofErr w:type="spellEnd"/>
            <w:r w:rsidRPr="006B478D">
              <w:rPr>
                <w:rFonts w:ascii="Times New Roman" w:hAnsi="Times New Roman"/>
              </w:rPr>
              <w:t xml:space="preserve"> is the UE processing procedure time defined for the uplink transmission triggering the switch given in clause 5.3, clause 5.4, clause 6.2.1, clause 6.4 and in clause 9 of [6, TS 38.213].</w:t>
            </w:r>
          </w:p>
          <w:p w:rsidR="00CC2402" w:rsidRPr="006B478D" w:rsidRDefault="00CC2402" w:rsidP="00DC1248">
            <w:pPr>
              <w:spacing w:before="0" w:after="0" w:line="240" w:lineRule="auto"/>
              <w:rPr>
                <w:rFonts w:ascii="Times New Roman" w:hAnsi="Times New Roman"/>
              </w:rPr>
            </w:pPr>
            <w:r w:rsidRPr="006B478D">
              <w:rPr>
                <w:rFonts w:ascii="Times New Roman" w:hAnsi="Times New Roman"/>
              </w:rPr>
              <w:t xml:space="preserve">The UE does not expect to perform more than one uplink switching in a slot with </w:t>
            </w:r>
            <w:r w:rsidRPr="006B478D">
              <w:rPr>
                <w:rFonts w:ascii="Times New Roman" w:hAnsi="Times New Roman"/>
                <w:i/>
              </w:rPr>
              <w:t>µ</w:t>
            </w:r>
            <w:r w:rsidRPr="006B478D">
              <w:rPr>
                <w:rFonts w:ascii="Times New Roman" w:hAnsi="Times New Roman"/>
                <w:i/>
                <w:vertAlign w:val="subscript"/>
              </w:rPr>
              <w:t xml:space="preserve">UL </w:t>
            </w:r>
            <w:r w:rsidRPr="006B478D">
              <w:rPr>
                <w:rFonts w:ascii="Times New Roman" w:hAnsi="Times New Roman"/>
              </w:rPr>
              <w:t xml:space="preserve">= </w:t>
            </w:r>
            <w:proofErr w:type="gramStart"/>
            <w:r w:rsidRPr="006B478D">
              <w:rPr>
                <w:rFonts w:ascii="Times New Roman" w:hAnsi="Times New Roman"/>
              </w:rPr>
              <w:t>max(</w:t>
            </w:r>
            <w:proofErr w:type="gramEnd"/>
            <w:r w:rsidRPr="006B478D">
              <w:rPr>
                <w:rFonts w:ascii="Times New Roman" w:hAnsi="Times New Roman"/>
                <w:i/>
              </w:rPr>
              <w:t>µ</w:t>
            </w:r>
            <w:r w:rsidRPr="006B478D">
              <w:rPr>
                <w:rFonts w:ascii="Times New Roman" w:hAnsi="Times New Roman"/>
                <w:i/>
                <w:vertAlign w:val="subscript"/>
              </w:rPr>
              <w:t>UL, 1,</w:t>
            </w:r>
            <w:r w:rsidRPr="006B478D">
              <w:rPr>
                <w:rFonts w:ascii="Times New Roman" w:hAnsi="Times New Roman"/>
                <w:i/>
              </w:rPr>
              <w:t xml:space="preserve"> µ</w:t>
            </w:r>
            <w:r w:rsidRPr="006B478D">
              <w:rPr>
                <w:rFonts w:ascii="Times New Roman" w:hAnsi="Times New Roman"/>
                <w:i/>
                <w:vertAlign w:val="subscript"/>
              </w:rPr>
              <w:t>UL, 2</w:t>
            </w:r>
            <w:r w:rsidRPr="006B478D">
              <w:rPr>
                <w:rFonts w:ascii="Times New Roman" w:hAnsi="Times New Roman"/>
              </w:rPr>
              <w:t xml:space="preserve">), where the </w:t>
            </w:r>
            <w:r w:rsidRPr="006B478D">
              <w:rPr>
                <w:rFonts w:ascii="Times New Roman" w:hAnsi="Times New Roman"/>
                <w:i/>
              </w:rPr>
              <w:t>µ</w:t>
            </w:r>
            <w:r w:rsidRPr="006B478D">
              <w:rPr>
                <w:rFonts w:ascii="Times New Roman" w:hAnsi="Times New Roman"/>
                <w:i/>
                <w:vertAlign w:val="subscript"/>
              </w:rPr>
              <w:t>UL, 1</w:t>
            </w:r>
            <w:r w:rsidRPr="006B478D">
              <w:rPr>
                <w:rFonts w:ascii="Times New Roman" w:hAnsi="Times New Roman"/>
              </w:rPr>
              <w:t xml:space="preserve"> corresponds to the subcarrier spacing of the active UL BWP of one uplink carrier before the switching gap and the </w:t>
            </w:r>
            <w:r w:rsidRPr="006B478D">
              <w:rPr>
                <w:rFonts w:ascii="Times New Roman" w:hAnsi="Times New Roman"/>
                <w:i/>
              </w:rPr>
              <w:t>µ</w:t>
            </w:r>
            <w:r w:rsidRPr="006B478D">
              <w:rPr>
                <w:rFonts w:ascii="Times New Roman" w:hAnsi="Times New Roman"/>
                <w:i/>
                <w:vertAlign w:val="subscript"/>
              </w:rPr>
              <w:t>UL, 2</w:t>
            </w:r>
            <w:r w:rsidRPr="006B478D">
              <w:rPr>
                <w:rFonts w:ascii="Times New Roman" w:hAnsi="Times New Roman"/>
              </w:rPr>
              <w:t xml:space="preserve"> corresponds to the subcarrier spacing of the active UL BWP of the other uplink carrier after the switching gap.</w:t>
            </w:r>
          </w:p>
          <w:p w:rsidR="00CC2402" w:rsidRPr="006B478D" w:rsidRDefault="00CC2402" w:rsidP="00DC1248">
            <w:pPr>
              <w:pStyle w:val="B1"/>
              <w:spacing w:before="0" w:after="0" w:line="240" w:lineRule="auto"/>
              <w:ind w:leftChars="28" w:left="56"/>
              <w:rPr>
                <w:rFonts w:ascii="Times New Roman" w:hAnsi="Times New Roman"/>
                <w:color w:val="FF0000"/>
                <w:u w:val="single"/>
              </w:rPr>
            </w:pPr>
            <w:r w:rsidRPr="006B478D">
              <w:rPr>
                <w:rFonts w:ascii="Times New Roman" w:hAnsi="Times New Roman"/>
                <w:color w:val="FF0000"/>
                <w:u w:val="single"/>
              </w:rPr>
              <w:t xml:space="preserve">If a UE indicated a capability for uplink switching with </w:t>
            </w:r>
            <w:proofErr w:type="spellStart"/>
            <w:r w:rsidRPr="006B478D">
              <w:rPr>
                <w:rFonts w:ascii="Times New Roman" w:hAnsi="Times New Roman"/>
                <w:i/>
                <w:iCs/>
                <w:color w:val="FF0000"/>
                <w:u w:val="single"/>
              </w:rPr>
              <w:t>BandCombination-UplinkTxSwitch</w:t>
            </w:r>
            <w:proofErr w:type="spellEnd"/>
            <w:r w:rsidRPr="006B478D">
              <w:rPr>
                <w:rFonts w:ascii="Times New Roman" w:hAnsi="Times New Roman"/>
                <w:color w:val="FF0000"/>
                <w:u w:val="single"/>
              </w:rPr>
              <w:t xml:space="preserve"> for a band combination, and if it is for that band combination</w:t>
            </w:r>
          </w:p>
          <w:p w:rsidR="00CC2402" w:rsidRPr="006B478D" w:rsidRDefault="00CC2402" w:rsidP="00DC1248">
            <w:pPr>
              <w:pStyle w:val="B2"/>
              <w:spacing w:before="0" w:after="0" w:line="240" w:lineRule="auto"/>
              <w:ind w:leftChars="170" w:left="340"/>
              <w:rPr>
                <w:rFonts w:ascii="Times New Roman" w:hAnsi="Times New Roman"/>
                <w:color w:val="FF0000"/>
                <w:u w:val="single"/>
              </w:rPr>
            </w:pPr>
            <w:r w:rsidRPr="006B478D">
              <w:rPr>
                <w:rFonts w:ascii="Times New Roman" w:hAnsi="Times New Roman"/>
                <w:color w:val="FF0000"/>
                <w:u w:val="single"/>
              </w:rPr>
              <w:t>-</w:t>
            </w:r>
            <w:r w:rsidRPr="006B478D">
              <w:rPr>
                <w:rFonts w:ascii="Times New Roman" w:hAnsi="Times New Roman"/>
                <w:color w:val="FF0000"/>
                <w:u w:val="single"/>
              </w:rPr>
              <w:tab/>
              <w:t xml:space="preserve">Configured with uplink carrier aggregation and </w:t>
            </w:r>
            <w:r w:rsidRPr="006B478D">
              <w:rPr>
                <w:rFonts w:ascii="Times New Roman" w:hAnsi="Times New Roman"/>
                <w:color w:val="FF0000"/>
                <w:u w:val="single"/>
                <w:lang w:eastAsia="zh-CN"/>
              </w:rPr>
              <w:t xml:space="preserve">configured with </w:t>
            </w:r>
            <w:proofErr w:type="spellStart"/>
            <w:r w:rsidRPr="006B478D">
              <w:rPr>
                <w:rFonts w:ascii="Times New Roman" w:hAnsi="Times New Roman"/>
                <w:color w:val="FF0000"/>
                <w:u w:val="single"/>
                <w:lang w:eastAsia="zh-CN"/>
              </w:rPr>
              <w:t>uplinkTxSwitchingOption</w:t>
            </w:r>
            <w:proofErr w:type="spellEnd"/>
            <w:r w:rsidRPr="006B478D">
              <w:rPr>
                <w:rFonts w:ascii="Times New Roman" w:hAnsi="Times New Roman"/>
                <w:color w:val="FF0000"/>
                <w:u w:val="single"/>
                <w:lang w:eastAsia="zh-CN"/>
              </w:rPr>
              <w:t xml:space="preserve"> set to ‘</w:t>
            </w:r>
            <w:proofErr w:type="spellStart"/>
            <w:r w:rsidRPr="006B478D">
              <w:rPr>
                <w:rFonts w:ascii="Times New Roman" w:hAnsi="Times New Roman"/>
                <w:i/>
                <w:color w:val="FF0000"/>
                <w:u w:val="single"/>
                <w:lang w:eastAsia="zh-CN"/>
              </w:rPr>
              <w:t>switchedUL</w:t>
            </w:r>
            <w:proofErr w:type="spellEnd"/>
            <w:r w:rsidRPr="006B478D">
              <w:rPr>
                <w:rFonts w:ascii="Times New Roman" w:hAnsi="Times New Roman"/>
                <w:color w:val="FF0000"/>
                <w:u w:val="single"/>
                <w:lang w:eastAsia="zh-CN"/>
              </w:rPr>
              <w:t>’</w:t>
            </w:r>
            <w:r w:rsidRPr="006B478D">
              <w:rPr>
                <w:rFonts w:ascii="Times New Roman" w:hAnsi="Times New Roman"/>
                <w:color w:val="FF0000"/>
                <w:u w:val="single"/>
              </w:rPr>
              <w:t>, or</w:t>
            </w:r>
          </w:p>
          <w:p w:rsidR="00CC2402" w:rsidRPr="006B478D" w:rsidRDefault="00CC2402" w:rsidP="00DC1248">
            <w:pPr>
              <w:pStyle w:val="B2"/>
              <w:spacing w:before="0" w:after="0" w:line="240" w:lineRule="auto"/>
              <w:ind w:leftChars="170" w:left="340"/>
              <w:rPr>
                <w:rFonts w:ascii="Times New Roman" w:hAnsi="Times New Roman"/>
                <w:color w:val="FF0000"/>
                <w:u w:val="single"/>
              </w:rPr>
            </w:pPr>
            <w:r w:rsidRPr="006B478D">
              <w:rPr>
                <w:rFonts w:ascii="Times New Roman" w:hAnsi="Times New Roman"/>
                <w:color w:val="FF0000"/>
                <w:u w:val="single"/>
              </w:rPr>
              <w:t>-</w:t>
            </w:r>
            <w:r w:rsidRPr="006B478D">
              <w:rPr>
                <w:rFonts w:ascii="Times New Roman" w:hAnsi="Times New Roman"/>
                <w:color w:val="FF0000"/>
                <w:u w:val="single"/>
              </w:rPr>
              <w:tab/>
              <w:t xml:space="preserve">Configured in a serving cell with two uplink carriers with higher layer parameter </w:t>
            </w:r>
            <w:proofErr w:type="spellStart"/>
            <w:r w:rsidRPr="006B478D">
              <w:rPr>
                <w:rFonts w:ascii="Times New Roman" w:hAnsi="Times New Roman"/>
                <w:i/>
                <w:iCs/>
                <w:color w:val="FF0000"/>
                <w:u w:val="single"/>
              </w:rPr>
              <w:t>supplementaryUplink</w:t>
            </w:r>
            <w:proofErr w:type="spellEnd"/>
            <w:r w:rsidRPr="006B478D">
              <w:rPr>
                <w:rFonts w:ascii="Times New Roman" w:hAnsi="Times New Roman"/>
                <w:i/>
                <w:iCs/>
                <w:color w:val="FF0000"/>
                <w:u w:val="single"/>
              </w:rPr>
              <w:t>,</w:t>
            </w:r>
          </w:p>
          <w:p w:rsidR="00CC2402" w:rsidRPr="006B478D" w:rsidRDefault="00CC2402" w:rsidP="00DC1248">
            <w:pPr>
              <w:pStyle w:val="B2"/>
              <w:spacing w:before="0" w:after="0" w:line="240" w:lineRule="auto"/>
              <w:ind w:left="0"/>
              <w:rPr>
                <w:rFonts w:ascii="Times New Roman" w:hAnsi="Times New Roman"/>
                <w:color w:val="FF0000"/>
                <w:u w:val="single"/>
                <w:lang w:eastAsia="zh-CN"/>
              </w:rPr>
            </w:pPr>
            <w:r w:rsidRPr="006B478D">
              <w:rPr>
                <w:rFonts w:ascii="Times New Roman" w:hAnsi="Times New Roman"/>
                <w:color w:val="FF0000"/>
                <w:u w:val="single"/>
                <w:lang w:eastAsia="zh-CN"/>
              </w:rPr>
              <w:t xml:space="preserve">if the UE is configured with uplink switching with parameter </w:t>
            </w:r>
            <w:proofErr w:type="spellStart"/>
            <w:r w:rsidRPr="006B478D">
              <w:rPr>
                <w:rFonts w:ascii="Times New Roman" w:hAnsi="Times New Roman"/>
                <w:i/>
                <w:color w:val="FF0000"/>
                <w:u w:val="single"/>
                <w:lang w:eastAsia="zh-CN"/>
              </w:rPr>
              <w:t>uplinkTxSwitching</w:t>
            </w:r>
            <w:proofErr w:type="spellEnd"/>
            <w:r w:rsidRPr="006B478D">
              <w:rPr>
                <w:rFonts w:ascii="Times New Roman" w:hAnsi="Times New Roman"/>
                <w:color w:val="FF0000"/>
                <w:u w:val="single"/>
                <w:lang w:eastAsia="zh-CN"/>
              </w:rPr>
              <w:t>, the UE is not expected to be scheduled or configured with simultaneous transmissions on the two uplink bands.</w:t>
            </w:r>
          </w:p>
          <w:p w:rsidR="00CC2402" w:rsidRPr="006B478D" w:rsidRDefault="00CC2402" w:rsidP="00DC1248">
            <w:pPr>
              <w:pStyle w:val="B2"/>
              <w:spacing w:before="0" w:after="0" w:line="240" w:lineRule="auto"/>
              <w:ind w:left="0"/>
              <w:rPr>
                <w:rFonts w:ascii="Times New Roman" w:hAnsi="Times New Roman"/>
                <w:lang w:eastAsia="zh-CN"/>
              </w:rPr>
            </w:pPr>
          </w:p>
        </w:tc>
      </w:tr>
    </w:tbl>
    <w:p w:rsidR="00CC2402" w:rsidRDefault="00CC2402" w:rsidP="00CC2402">
      <w:pPr>
        <w:rPr>
          <w:lang w:val="en-GB" w:eastAsia="zh-CN"/>
        </w:rPr>
      </w:pPr>
    </w:p>
    <w:p w:rsidR="00890BD2" w:rsidRPr="00CC2402" w:rsidRDefault="00890BD2">
      <w:pPr>
        <w:rPr>
          <w:i/>
          <w:lang w:val="en-GB" w:eastAsia="zh-CN"/>
        </w:rPr>
      </w:pPr>
    </w:p>
    <w:p w:rsidR="00890BD2" w:rsidRDefault="00243E4E">
      <w:pPr>
        <w:pStyle w:val="1"/>
        <w:rPr>
          <w:lang w:eastAsia="zh-CN"/>
        </w:rPr>
      </w:pPr>
      <w:r>
        <w:rPr>
          <w:rFonts w:hint="eastAsia"/>
          <w:lang w:eastAsia="zh-CN"/>
        </w:rPr>
        <w:t>R</w:t>
      </w:r>
      <w:r>
        <w:rPr>
          <w:lang w:eastAsia="zh-CN"/>
        </w:rPr>
        <w:t>eference</w:t>
      </w:r>
    </w:p>
    <w:p w:rsidR="0041513D" w:rsidRDefault="0041513D" w:rsidP="0041513D">
      <w:pPr>
        <w:pStyle w:val="a"/>
        <w:numPr>
          <w:ilvl w:val="0"/>
          <w:numId w:val="32"/>
        </w:numPr>
        <w:rPr>
          <w:lang w:eastAsia="zh-CN"/>
        </w:rPr>
      </w:pPr>
      <w:r>
        <w:rPr>
          <w:lang w:eastAsia="zh-CN"/>
        </w:rPr>
        <w:t>R1-2210190, Correction to UE type “</w:t>
      </w:r>
      <w:proofErr w:type="spellStart"/>
      <w:r>
        <w:rPr>
          <w:lang w:eastAsia="zh-CN"/>
        </w:rPr>
        <w:t>SwitchedUL</w:t>
      </w:r>
      <w:proofErr w:type="spellEnd"/>
      <w:r>
        <w:rPr>
          <w:lang w:eastAsia="zh-CN"/>
        </w:rPr>
        <w:t>” and simultaneous transmission on two UL bands, RAN1#110bis-e meeting, Nokia, Nokia Shanghai Bell</w:t>
      </w:r>
    </w:p>
    <w:p w:rsidR="00890BD2" w:rsidRDefault="0041513D" w:rsidP="0041513D">
      <w:pPr>
        <w:pStyle w:val="a"/>
        <w:numPr>
          <w:ilvl w:val="0"/>
          <w:numId w:val="32"/>
        </w:numPr>
        <w:rPr>
          <w:lang w:eastAsia="zh-CN"/>
        </w:rPr>
      </w:pPr>
      <w:r>
        <w:rPr>
          <w:lang w:eastAsia="zh-CN"/>
        </w:rPr>
        <w:t>R1-2210644, Summary of [110bis-e-NR-R16-11] UE type “</w:t>
      </w:r>
      <w:proofErr w:type="spellStart"/>
      <w:r>
        <w:rPr>
          <w:lang w:eastAsia="zh-CN"/>
        </w:rPr>
        <w:t>SwitchedUL</w:t>
      </w:r>
      <w:proofErr w:type="spellEnd"/>
      <w:r>
        <w:rPr>
          <w:lang w:eastAsia="zh-CN"/>
        </w:rPr>
        <w:t>” and simultaneous transmission on two UL bands, RAN1#110bis-e meeting, Moderator (Nokia)</w:t>
      </w:r>
    </w:p>
    <w:sectPr w:rsidR="00890BD2">
      <w:headerReference w:type="even" r:id="rId22"/>
      <w:footerReference w:type="even" r:id="rId23"/>
      <w:footerReference w:type="default" r:id="rId24"/>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5223" w:rsidRDefault="00315223">
      <w:pPr>
        <w:spacing w:after="0"/>
      </w:pPr>
      <w:r>
        <w:separator/>
      </w:r>
    </w:p>
  </w:endnote>
  <w:endnote w:type="continuationSeparator" w:id="0">
    <w:p w:rsidR="00315223" w:rsidRDefault="003152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BD2" w:rsidRDefault="00243E4E">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890BD2" w:rsidRDefault="00890BD2">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BD2" w:rsidRDefault="00243E4E">
    <w:pPr>
      <w:pStyle w:val="af0"/>
      <w:ind w:right="360"/>
    </w:pPr>
    <w:r>
      <w:rPr>
        <w:rStyle w:val="afb"/>
      </w:rPr>
      <w:fldChar w:fldCharType="begin"/>
    </w:r>
    <w:r>
      <w:rPr>
        <w:rStyle w:val="afb"/>
      </w:rPr>
      <w:instrText xml:space="preserve"> PAGE </w:instrText>
    </w:r>
    <w:r>
      <w:rPr>
        <w:rStyle w:val="afb"/>
      </w:rPr>
      <w:fldChar w:fldCharType="separate"/>
    </w:r>
    <w:r>
      <w:rPr>
        <w:rStyle w:val="afb"/>
      </w:rPr>
      <w:t>27</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28</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5223" w:rsidRDefault="00315223">
      <w:pPr>
        <w:spacing w:after="0"/>
      </w:pPr>
      <w:r>
        <w:separator/>
      </w:r>
    </w:p>
  </w:footnote>
  <w:footnote w:type="continuationSeparator" w:id="0">
    <w:p w:rsidR="00315223" w:rsidRDefault="003152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BD2" w:rsidRDefault="00243E4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06155"/>
    <w:multiLevelType w:val="multilevel"/>
    <w:tmpl w:val="01B0615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166143A5"/>
    <w:multiLevelType w:val="hybridMultilevel"/>
    <w:tmpl w:val="94F4DE88"/>
    <w:lvl w:ilvl="0" w:tplc="04090005">
      <w:start w:val="1"/>
      <w:numFmt w:val="bullet"/>
      <w:lvlText w:val=""/>
      <w:lvlJc w:val="left"/>
      <w:pPr>
        <w:ind w:left="1512" w:hanging="360"/>
      </w:pPr>
      <w:rPr>
        <w:rFonts w:ascii="Wingdings" w:hAnsi="Wingdings" w:cs="Wingdings"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cs="Wingdings" w:hint="default"/>
      </w:rPr>
    </w:lvl>
    <w:lvl w:ilvl="3" w:tplc="04090001" w:tentative="1">
      <w:start w:val="1"/>
      <w:numFmt w:val="bullet"/>
      <w:lvlText w:val=""/>
      <w:lvlJc w:val="left"/>
      <w:pPr>
        <w:ind w:left="3672" w:hanging="360"/>
      </w:pPr>
      <w:rPr>
        <w:rFonts w:ascii="Symbol" w:hAnsi="Symbol" w:cs="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cs="Wingdings" w:hint="default"/>
      </w:rPr>
    </w:lvl>
    <w:lvl w:ilvl="6" w:tplc="04090001" w:tentative="1">
      <w:start w:val="1"/>
      <w:numFmt w:val="bullet"/>
      <w:lvlText w:val=""/>
      <w:lvlJc w:val="left"/>
      <w:pPr>
        <w:ind w:left="5832" w:hanging="360"/>
      </w:pPr>
      <w:rPr>
        <w:rFonts w:ascii="Symbol" w:hAnsi="Symbol" w:cs="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cs="Wingdings" w:hint="default"/>
      </w:rPr>
    </w:lvl>
  </w:abstractNum>
  <w:abstractNum w:abstractNumId="6" w15:restartNumberingAfterBreak="0">
    <w:nsid w:val="195E4F9C"/>
    <w:multiLevelType w:val="multilevel"/>
    <w:tmpl w:val="195E4F9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1DC3007A"/>
    <w:multiLevelType w:val="multilevel"/>
    <w:tmpl w:val="1DC3007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22636BDA"/>
    <w:multiLevelType w:val="hybridMultilevel"/>
    <w:tmpl w:val="AD38BBC2"/>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879A4"/>
    <w:multiLevelType w:val="multilevel"/>
    <w:tmpl w:val="22D879A4"/>
    <w:lvl w:ilvl="0">
      <w:numFmt w:val="bullet"/>
      <w:lvlText w:val="-"/>
      <w:lvlJc w:val="left"/>
      <w:pPr>
        <w:ind w:left="708" w:hanging="420"/>
      </w:pPr>
      <w:rPr>
        <w:rFonts w:ascii="等线" w:eastAsia="等线" w:hAnsi="等线" w:cs="Times New Roman" w:hint="eastAsia"/>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4C720FC"/>
    <w:multiLevelType w:val="hybridMultilevel"/>
    <w:tmpl w:val="260C12B4"/>
    <w:lvl w:ilvl="0" w:tplc="E208FFBA">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1" w15:restartNumberingAfterBreak="0">
    <w:nsid w:val="25D770B3"/>
    <w:multiLevelType w:val="hybridMultilevel"/>
    <w:tmpl w:val="260C12B4"/>
    <w:lvl w:ilvl="0" w:tplc="E208FFBA">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2" w15:restartNumberingAfterBreak="0">
    <w:nsid w:val="2A8325B3"/>
    <w:multiLevelType w:val="multilevel"/>
    <w:tmpl w:val="2A8325B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AF42FA"/>
    <w:multiLevelType w:val="multilevel"/>
    <w:tmpl w:val="2DAF42F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4D0958"/>
    <w:multiLevelType w:val="multilevel"/>
    <w:tmpl w:val="354D09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9879EF"/>
    <w:multiLevelType w:val="multilevel"/>
    <w:tmpl w:val="3B9879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A37F68"/>
    <w:multiLevelType w:val="hybridMultilevel"/>
    <w:tmpl w:val="260C12B4"/>
    <w:lvl w:ilvl="0" w:tplc="E208FFBA">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2" w15:restartNumberingAfterBreak="0">
    <w:nsid w:val="44E1356E"/>
    <w:multiLevelType w:val="multilevel"/>
    <w:tmpl w:val="44E1356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553B06"/>
    <w:multiLevelType w:val="multilevel"/>
    <w:tmpl w:val="47553B06"/>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5" w15:restartNumberingAfterBreak="0">
    <w:nsid w:val="4D347DBE"/>
    <w:multiLevelType w:val="hybridMultilevel"/>
    <w:tmpl w:val="6F8CBAB4"/>
    <w:lvl w:ilvl="0" w:tplc="04090001">
      <w:start w:val="1"/>
      <w:numFmt w:val="bullet"/>
      <w:lvlText w:val=""/>
      <w:lvlJc w:val="left"/>
      <w:pPr>
        <w:ind w:left="1512" w:hanging="360"/>
      </w:pPr>
      <w:rPr>
        <w:rFonts w:ascii="Symbol" w:hAnsi="Symbol" w:cs="Symbol" w:hint="default"/>
      </w:rPr>
    </w:lvl>
    <w:lvl w:ilvl="1" w:tplc="04090003">
      <w:start w:val="1"/>
      <w:numFmt w:val="bullet"/>
      <w:lvlText w:val="o"/>
      <w:lvlJc w:val="left"/>
      <w:pPr>
        <w:ind w:left="3562" w:hanging="360"/>
      </w:pPr>
      <w:rPr>
        <w:rFonts w:ascii="Courier New" w:hAnsi="Courier New" w:cs="Courier New" w:hint="default"/>
      </w:rPr>
    </w:lvl>
    <w:lvl w:ilvl="2" w:tplc="04090005">
      <w:start w:val="1"/>
      <w:numFmt w:val="bullet"/>
      <w:lvlText w:val=""/>
      <w:lvlJc w:val="left"/>
      <w:pPr>
        <w:ind w:left="2952" w:hanging="360"/>
      </w:pPr>
      <w:rPr>
        <w:rFonts w:ascii="Wingdings" w:hAnsi="Wingdings" w:cs="Wingdings" w:hint="default"/>
      </w:rPr>
    </w:lvl>
    <w:lvl w:ilvl="3" w:tplc="04090001" w:tentative="1">
      <w:start w:val="1"/>
      <w:numFmt w:val="bullet"/>
      <w:lvlText w:val=""/>
      <w:lvlJc w:val="left"/>
      <w:pPr>
        <w:ind w:left="3672" w:hanging="360"/>
      </w:pPr>
      <w:rPr>
        <w:rFonts w:ascii="Symbol" w:hAnsi="Symbol" w:cs="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cs="Wingdings" w:hint="default"/>
      </w:rPr>
    </w:lvl>
    <w:lvl w:ilvl="6" w:tplc="04090001" w:tentative="1">
      <w:start w:val="1"/>
      <w:numFmt w:val="bullet"/>
      <w:lvlText w:val=""/>
      <w:lvlJc w:val="left"/>
      <w:pPr>
        <w:ind w:left="5832" w:hanging="360"/>
      </w:pPr>
      <w:rPr>
        <w:rFonts w:ascii="Symbol" w:hAnsi="Symbol" w:cs="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cs="Wingdings" w:hint="default"/>
      </w:rPr>
    </w:lvl>
  </w:abstractNum>
  <w:abstractNum w:abstractNumId="26" w15:restartNumberingAfterBreak="0">
    <w:nsid w:val="56153B5B"/>
    <w:multiLevelType w:val="multilevel"/>
    <w:tmpl w:val="56153B5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5F447B63"/>
    <w:multiLevelType w:val="multilevel"/>
    <w:tmpl w:val="5F447B6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9"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62D2453"/>
    <w:multiLevelType w:val="hybridMultilevel"/>
    <w:tmpl w:val="260C12B4"/>
    <w:lvl w:ilvl="0" w:tplc="E208FFBA">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D5A30CF"/>
    <w:multiLevelType w:val="multilevel"/>
    <w:tmpl w:val="7D5A30CF"/>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9" w15:restartNumberingAfterBreak="0">
    <w:nsid w:val="7F75071D"/>
    <w:multiLevelType w:val="multilevel"/>
    <w:tmpl w:val="7F75071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abstractNumId w:val="2"/>
  </w:num>
  <w:num w:numId="2">
    <w:abstractNumId w:val="16"/>
  </w:num>
  <w:num w:numId="3">
    <w:abstractNumId w:val="13"/>
  </w:num>
  <w:num w:numId="4">
    <w:abstractNumId w:val="32"/>
  </w:num>
  <w:num w:numId="5">
    <w:abstractNumId w:val="19"/>
  </w:num>
  <w:num w:numId="6">
    <w:abstractNumId w:val="37"/>
  </w:num>
  <w:num w:numId="7">
    <w:abstractNumId w:val="30"/>
  </w:num>
  <w:num w:numId="8">
    <w:abstractNumId w:val="17"/>
  </w:num>
  <w:num w:numId="9">
    <w:abstractNumId w:val="36"/>
  </w:num>
  <w:num w:numId="10">
    <w:abstractNumId w:val="33"/>
  </w:num>
  <w:num w:numId="1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4"/>
  </w:num>
  <w:num w:numId="13">
    <w:abstractNumId w:val="23"/>
  </w:num>
  <w:num w:numId="14">
    <w:abstractNumId w:val="15"/>
  </w:num>
  <w:num w:numId="15">
    <w:abstractNumId w:val="29"/>
  </w:num>
  <w:num w:numId="16">
    <w:abstractNumId w:val="35"/>
  </w:num>
  <w:num w:numId="17">
    <w:abstractNumId w:val="7"/>
  </w:num>
  <w:num w:numId="18">
    <w:abstractNumId w:val="28"/>
  </w:num>
  <w:num w:numId="19">
    <w:abstractNumId w:val="34"/>
  </w:num>
  <w:num w:numId="20">
    <w:abstractNumId w:val="38"/>
  </w:num>
  <w:num w:numId="21">
    <w:abstractNumId w:val="22"/>
  </w:num>
  <w:num w:numId="22">
    <w:abstractNumId w:val="12"/>
  </w:num>
  <w:num w:numId="23">
    <w:abstractNumId w:val="24"/>
  </w:num>
  <w:num w:numId="24">
    <w:abstractNumId w:val="18"/>
  </w:num>
  <w:num w:numId="25">
    <w:abstractNumId w:val="9"/>
  </w:num>
  <w:num w:numId="26">
    <w:abstractNumId w:val="26"/>
  </w:num>
  <w:num w:numId="27">
    <w:abstractNumId w:val="14"/>
  </w:num>
  <w:num w:numId="28">
    <w:abstractNumId w:val="1"/>
  </w:num>
  <w:num w:numId="29">
    <w:abstractNumId w:val="6"/>
  </w:num>
  <w:num w:numId="30">
    <w:abstractNumId w:val="27"/>
  </w:num>
  <w:num w:numId="31">
    <w:abstractNumId w:val="39"/>
  </w:num>
  <w:num w:numId="32">
    <w:abstractNumId w:val="3"/>
  </w:num>
  <w:num w:numId="33">
    <w:abstractNumId w:val="20"/>
  </w:num>
  <w:num w:numId="34">
    <w:abstractNumId w:val="25"/>
  </w:num>
  <w:num w:numId="35">
    <w:abstractNumId w:val="5"/>
  </w:num>
  <w:num w:numId="36">
    <w:abstractNumId w:val="21"/>
  </w:num>
  <w:num w:numId="37">
    <w:abstractNumId w:val="2"/>
  </w:num>
  <w:num w:numId="38">
    <w:abstractNumId w:val="10"/>
  </w:num>
  <w:num w:numId="39">
    <w:abstractNumId w:val="31"/>
  </w:num>
  <w:num w:numId="40">
    <w:abstractNumId w:val="11"/>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A24"/>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2F5"/>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956"/>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E48"/>
    <w:rsid w:val="00057123"/>
    <w:rsid w:val="000572A7"/>
    <w:rsid w:val="00057313"/>
    <w:rsid w:val="00057388"/>
    <w:rsid w:val="00057DF9"/>
    <w:rsid w:val="00057F68"/>
    <w:rsid w:val="00057F6C"/>
    <w:rsid w:val="00060586"/>
    <w:rsid w:val="000606F3"/>
    <w:rsid w:val="0006090A"/>
    <w:rsid w:val="00060DF9"/>
    <w:rsid w:val="00060FDB"/>
    <w:rsid w:val="000612C5"/>
    <w:rsid w:val="00061374"/>
    <w:rsid w:val="000613C1"/>
    <w:rsid w:val="00061517"/>
    <w:rsid w:val="000616E1"/>
    <w:rsid w:val="00061BDC"/>
    <w:rsid w:val="00061D2A"/>
    <w:rsid w:val="00061D56"/>
    <w:rsid w:val="0006205E"/>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0B4"/>
    <w:rsid w:val="000921E3"/>
    <w:rsid w:val="00092A3D"/>
    <w:rsid w:val="00092D01"/>
    <w:rsid w:val="00092F89"/>
    <w:rsid w:val="000931C3"/>
    <w:rsid w:val="00093349"/>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60"/>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99"/>
    <w:rsid w:val="000B32D4"/>
    <w:rsid w:val="000B38DA"/>
    <w:rsid w:val="000B3F37"/>
    <w:rsid w:val="000B4788"/>
    <w:rsid w:val="000B49D7"/>
    <w:rsid w:val="000B546F"/>
    <w:rsid w:val="000B59AA"/>
    <w:rsid w:val="000B6030"/>
    <w:rsid w:val="000B63BC"/>
    <w:rsid w:val="000B65BE"/>
    <w:rsid w:val="000B6BDF"/>
    <w:rsid w:val="000B71B6"/>
    <w:rsid w:val="000B761C"/>
    <w:rsid w:val="000B7AC2"/>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48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A3D"/>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856"/>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5C2"/>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83B"/>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31F"/>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2D0C"/>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08C"/>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0C3"/>
    <w:rsid w:val="00164646"/>
    <w:rsid w:val="001647FA"/>
    <w:rsid w:val="00165137"/>
    <w:rsid w:val="001652DD"/>
    <w:rsid w:val="0016546F"/>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0C83"/>
    <w:rsid w:val="001A1337"/>
    <w:rsid w:val="001A1941"/>
    <w:rsid w:val="001A1CAA"/>
    <w:rsid w:val="001A2242"/>
    <w:rsid w:val="001A2939"/>
    <w:rsid w:val="001A2F35"/>
    <w:rsid w:val="001A2FD5"/>
    <w:rsid w:val="001A3037"/>
    <w:rsid w:val="001A30FB"/>
    <w:rsid w:val="001A36CF"/>
    <w:rsid w:val="001A3788"/>
    <w:rsid w:val="001A3974"/>
    <w:rsid w:val="001A3BBA"/>
    <w:rsid w:val="001A3D02"/>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D82"/>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B4E"/>
    <w:rsid w:val="001B4F7B"/>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129"/>
    <w:rsid w:val="001D23A3"/>
    <w:rsid w:val="001D2B3C"/>
    <w:rsid w:val="001D2E6C"/>
    <w:rsid w:val="001D2F8F"/>
    <w:rsid w:val="001D35DC"/>
    <w:rsid w:val="001D40B0"/>
    <w:rsid w:val="001D43C0"/>
    <w:rsid w:val="001D448E"/>
    <w:rsid w:val="001D4969"/>
    <w:rsid w:val="001D4AF0"/>
    <w:rsid w:val="001D4F24"/>
    <w:rsid w:val="001D506F"/>
    <w:rsid w:val="001D57BC"/>
    <w:rsid w:val="001D5A66"/>
    <w:rsid w:val="001D65DA"/>
    <w:rsid w:val="001D6796"/>
    <w:rsid w:val="001D6C7F"/>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5A3"/>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1F"/>
    <w:rsid w:val="0023287C"/>
    <w:rsid w:val="002328C3"/>
    <w:rsid w:val="00232E9D"/>
    <w:rsid w:val="0023324F"/>
    <w:rsid w:val="00233B29"/>
    <w:rsid w:val="002344C8"/>
    <w:rsid w:val="002349C5"/>
    <w:rsid w:val="00234B73"/>
    <w:rsid w:val="00235581"/>
    <w:rsid w:val="00235698"/>
    <w:rsid w:val="0023650C"/>
    <w:rsid w:val="00236699"/>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4E"/>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4A2"/>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570"/>
    <w:rsid w:val="00267819"/>
    <w:rsid w:val="00267FE3"/>
    <w:rsid w:val="002706CC"/>
    <w:rsid w:val="002708DA"/>
    <w:rsid w:val="00270C63"/>
    <w:rsid w:val="00270C98"/>
    <w:rsid w:val="00270CF1"/>
    <w:rsid w:val="00270E57"/>
    <w:rsid w:val="00270E80"/>
    <w:rsid w:val="00271048"/>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67B"/>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A0"/>
    <w:rsid w:val="00277512"/>
    <w:rsid w:val="00277609"/>
    <w:rsid w:val="002777E4"/>
    <w:rsid w:val="00277E66"/>
    <w:rsid w:val="002801E2"/>
    <w:rsid w:val="00280612"/>
    <w:rsid w:val="0028073A"/>
    <w:rsid w:val="00280960"/>
    <w:rsid w:val="0028164E"/>
    <w:rsid w:val="0028168F"/>
    <w:rsid w:val="00281718"/>
    <w:rsid w:val="002825CE"/>
    <w:rsid w:val="0028272A"/>
    <w:rsid w:val="00282A97"/>
    <w:rsid w:val="00283165"/>
    <w:rsid w:val="002832E7"/>
    <w:rsid w:val="00283346"/>
    <w:rsid w:val="00283AA4"/>
    <w:rsid w:val="00283C2F"/>
    <w:rsid w:val="00283FD2"/>
    <w:rsid w:val="00284E7F"/>
    <w:rsid w:val="0028550D"/>
    <w:rsid w:val="00285520"/>
    <w:rsid w:val="00285894"/>
    <w:rsid w:val="00285A85"/>
    <w:rsid w:val="00285BEF"/>
    <w:rsid w:val="00285E28"/>
    <w:rsid w:val="00285EF7"/>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7C2"/>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2A"/>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A"/>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5D3"/>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14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15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116"/>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1E5F"/>
    <w:rsid w:val="00312709"/>
    <w:rsid w:val="00312ACB"/>
    <w:rsid w:val="003134E8"/>
    <w:rsid w:val="00313765"/>
    <w:rsid w:val="003137A0"/>
    <w:rsid w:val="00313BC1"/>
    <w:rsid w:val="00313C4F"/>
    <w:rsid w:val="00314111"/>
    <w:rsid w:val="003141C2"/>
    <w:rsid w:val="00314CBB"/>
    <w:rsid w:val="003151F9"/>
    <w:rsid w:val="00315223"/>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A6E"/>
    <w:rsid w:val="00321B02"/>
    <w:rsid w:val="00321D94"/>
    <w:rsid w:val="00321F1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126"/>
    <w:rsid w:val="00331915"/>
    <w:rsid w:val="00332123"/>
    <w:rsid w:val="003321C3"/>
    <w:rsid w:val="0033290E"/>
    <w:rsid w:val="00332962"/>
    <w:rsid w:val="00333977"/>
    <w:rsid w:val="00333A39"/>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D3"/>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C8B"/>
    <w:rsid w:val="00382EAB"/>
    <w:rsid w:val="00383169"/>
    <w:rsid w:val="00383D4B"/>
    <w:rsid w:val="00383DDB"/>
    <w:rsid w:val="00384142"/>
    <w:rsid w:val="003842A8"/>
    <w:rsid w:val="00384747"/>
    <w:rsid w:val="003848D9"/>
    <w:rsid w:val="00384BC0"/>
    <w:rsid w:val="00384BD4"/>
    <w:rsid w:val="00384E31"/>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87FA9"/>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3DDF"/>
    <w:rsid w:val="003946B1"/>
    <w:rsid w:val="00394775"/>
    <w:rsid w:val="00394782"/>
    <w:rsid w:val="00394948"/>
    <w:rsid w:val="00394B44"/>
    <w:rsid w:val="00394D6C"/>
    <w:rsid w:val="0039502C"/>
    <w:rsid w:val="0039511F"/>
    <w:rsid w:val="003954DB"/>
    <w:rsid w:val="00395684"/>
    <w:rsid w:val="003956FE"/>
    <w:rsid w:val="0039586B"/>
    <w:rsid w:val="003958F1"/>
    <w:rsid w:val="0039598F"/>
    <w:rsid w:val="00395DB2"/>
    <w:rsid w:val="00395F53"/>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03E"/>
    <w:rsid w:val="003B3171"/>
    <w:rsid w:val="003B3E56"/>
    <w:rsid w:val="003B4039"/>
    <w:rsid w:val="003B4482"/>
    <w:rsid w:val="003B495C"/>
    <w:rsid w:val="003B4B90"/>
    <w:rsid w:val="003B4D9B"/>
    <w:rsid w:val="003B4E9C"/>
    <w:rsid w:val="003B570F"/>
    <w:rsid w:val="003B5AE0"/>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E09"/>
    <w:rsid w:val="003D60F1"/>
    <w:rsid w:val="003D63BA"/>
    <w:rsid w:val="003D680E"/>
    <w:rsid w:val="003D69ED"/>
    <w:rsid w:val="003D6AFD"/>
    <w:rsid w:val="003D6B43"/>
    <w:rsid w:val="003D740C"/>
    <w:rsid w:val="003D79E8"/>
    <w:rsid w:val="003D7A39"/>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6A4"/>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274"/>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2DD"/>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13D"/>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54F"/>
    <w:rsid w:val="0043270B"/>
    <w:rsid w:val="00432780"/>
    <w:rsid w:val="00432B83"/>
    <w:rsid w:val="00432F8F"/>
    <w:rsid w:val="00432F9E"/>
    <w:rsid w:val="00433106"/>
    <w:rsid w:val="0043359F"/>
    <w:rsid w:val="00433C8B"/>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6D7E"/>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0F0C"/>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0DA"/>
    <w:rsid w:val="0045742D"/>
    <w:rsid w:val="0045745E"/>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025"/>
    <w:rsid w:val="0047253B"/>
    <w:rsid w:val="00472668"/>
    <w:rsid w:val="00472ACB"/>
    <w:rsid w:val="0047330E"/>
    <w:rsid w:val="004735E8"/>
    <w:rsid w:val="004737D3"/>
    <w:rsid w:val="00473F5F"/>
    <w:rsid w:val="0047410D"/>
    <w:rsid w:val="004746DF"/>
    <w:rsid w:val="0047475B"/>
    <w:rsid w:val="00475260"/>
    <w:rsid w:val="0047539C"/>
    <w:rsid w:val="004753D8"/>
    <w:rsid w:val="004755D5"/>
    <w:rsid w:val="00475674"/>
    <w:rsid w:val="00475BC8"/>
    <w:rsid w:val="00475D13"/>
    <w:rsid w:val="00475E50"/>
    <w:rsid w:val="00475E54"/>
    <w:rsid w:val="00475F90"/>
    <w:rsid w:val="004761F6"/>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8FE"/>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1D"/>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90A"/>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97C42"/>
    <w:rsid w:val="004A01E1"/>
    <w:rsid w:val="004A0911"/>
    <w:rsid w:val="004A0E00"/>
    <w:rsid w:val="004A0F3C"/>
    <w:rsid w:val="004A0F7F"/>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A7FFB"/>
    <w:rsid w:val="004B0706"/>
    <w:rsid w:val="004B0780"/>
    <w:rsid w:val="004B0787"/>
    <w:rsid w:val="004B0AE1"/>
    <w:rsid w:val="004B0F4D"/>
    <w:rsid w:val="004B1313"/>
    <w:rsid w:val="004B169E"/>
    <w:rsid w:val="004B1803"/>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B7F21"/>
    <w:rsid w:val="004C032E"/>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695"/>
    <w:rsid w:val="004C5C44"/>
    <w:rsid w:val="004C5EF0"/>
    <w:rsid w:val="004C63D6"/>
    <w:rsid w:val="004C660B"/>
    <w:rsid w:val="004C6906"/>
    <w:rsid w:val="004C6BF1"/>
    <w:rsid w:val="004C730E"/>
    <w:rsid w:val="004C7739"/>
    <w:rsid w:val="004C7BDF"/>
    <w:rsid w:val="004C7EE0"/>
    <w:rsid w:val="004D014D"/>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6F"/>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69B8"/>
    <w:rsid w:val="004D70E1"/>
    <w:rsid w:val="004D710C"/>
    <w:rsid w:val="004D7F62"/>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1E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CE0"/>
    <w:rsid w:val="00503FAD"/>
    <w:rsid w:val="00504639"/>
    <w:rsid w:val="00504943"/>
    <w:rsid w:val="00504BF5"/>
    <w:rsid w:val="00504C77"/>
    <w:rsid w:val="00504CBB"/>
    <w:rsid w:val="00504D9B"/>
    <w:rsid w:val="00504DEE"/>
    <w:rsid w:val="00504EF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83D"/>
    <w:rsid w:val="00512A7B"/>
    <w:rsid w:val="00512D39"/>
    <w:rsid w:val="00513B8C"/>
    <w:rsid w:val="00513F8F"/>
    <w:rsid w:val="005147E7"/>
    <w:rsid w:val="00514832"/>
    <w:rsid w:val="005149A2"/>
    <w:rsid w:val="00514CEE"/>
    <w:rsid w:val="005150E4"/>
    <w:rsid w:val="0051524E"/>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4C"/>
    <w:rsid w:val="005307C7"/>
    <w:rsid w:val="00530AFD"/>
    <w:rsid w:val="00531081"/>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B58"/>
    <w:rsid w:val="0054340E"/>
    <w:rsid w:val="0054348B"/>
    <w:rsid w:val="005436D7"/>
    <w:rsid w:val="00543703"/>
    <w:rsid w:val="0054370B"/>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1"/>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4F28"/>
    <w:rsid w:val="00555104"/>
    <w:rsid w:val="005552B9"/>
    <w:rsid w:val="00555520"/>
    <w:rsid w:val="00555713"/>
    <w:rsid w:val="00555772"/>
    <w:rsid w:val="00555A5C"/>
    <w:rsid w:val="00555D6F"/>
    <w:rsid w:val="005565B1"/>
    <w:rsid w:val="00556680"/>
    <w:rsid w:val="005567BF"/>
    <w:rsid w:val="005569D2"/>
    <w:rsid w:val="00556CA4"/>
    <w:rsid w:val="00556DA3"/>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4AA"/>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598"/>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9B"/>
    <w:rsid w:val="00590BF6"/>
    <w:rsid w:val="00591B9C"/>
    <w:rsid w:val="00591C29"/>
    <w:rsid w:val="00592160"/>
    <w:rsid w:val="005923C9"/>
    <w:rsid w:val="00592630"/>
    <w:rsid w:val="00592698"/>
    <w:rsid w:val="0059284F"/>
    <w:rsid w:val="005929A4"/>
    <w:rsid w:val="00592DAD"/>
    <w:rsid w:val="00592E68"/>
    <w:rsid w:val="0059323A"/>
    <w:rsid w:val="00593447"/>
    <w:rsid w:val="00593D65"/>
    <w:rsid w:val="00594131"/>
    <w:rsid w:val="005942FD"/>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D6"/>
    <w:rsid w:val="005A18F9"/>
    <w:rsid w:val="005A1AA7"/>
    <w:rsid w:val="005A1BAF"/>
    <w:rsid w:val="005A1C03"/>
    <w:rsid w:val="005A1CC6"/>
    <w:rsid w:val="005A2229"/>
    <w:rsid w:val="005A23BE"/>
    <w:rsid w:val="005A294E"/>
    <w:rsid w:val="005A320D"/>
    <w:rsid w:val="005A36E3"/>
    <w:rsid w:val="005A3A31"/>
    <w:rsid w:val="005A416C"/>
    <w:rsid w:val="005A53A4"/>
    <w:rsid w:val="005A54DF"/>
    <w:rsid w:val="005A588D"/>
    <w:rsid w:val="005A59CF"/>
    <w:rsid w:val="005A6223"/>
    <w:rsid w:val="005A65E0"/>
    <w:rsid w:val="005A6A3A"/>
    <w:rsid w:val="005A6E87"/>
    <w:rsid w:val="005A703E"/>
    <w:rsid w:val="005A759E"/>
    <w:rsid w:val="005A7F72"/>
    <w:rsid w:val="005B03C1"/>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448"/>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25"/>
    <w:rsid w:val="005C4CD6"/>
    <w:rsid w:val="005C4DE3"/>
    <w:rsid w:val="005C5024"/>
    <w:rsid w:val="005C5372"/>
    <w:rsid w:val="005C5379"/>
    <w:rsid w:val="005C537D"/>
    <w:rsid w:val="005C5425"/>
    <w:rsid w:val="005C57A1"/>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2712"/>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89"/>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1E3"/>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316"/>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47B"/>
    <w:rsid w:val="00637982"/>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26D"/>
    <w:rsid w:val="00645ACC"/>
    <w:rsid w:val="0064615B"/>
    <w:rsid w:val="006466B5"/>
    <w:rsid w:val="00646878"/>
    <w:rsid w:val="0064688F"/>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27C"/>
    <w:rsid w:val="00656D6F"/>
    <w:rsid w:val="00657005"/>
    <w:rsid w:val="006572FB"/>
    <w:rsid w:val="00657791"/>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261"/>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471"/>
    <w:rsid w:val="006B154C"/>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78D"/>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717"/>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23B"/>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20"/>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D"/>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571"/>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B8"/>
    <w:rsid w:val="00757FE8"/>
    <w:rsid w:val="007600CF"/>
    <w:rsid w:val="0076015A"/>
    <w:rsid w:val="0076031F"/>
    <w:rsid w:val="00760756"/>
    <w:rsid w:val="00760853"/>
    <w:rsid w:val="007609D4"/>
    <w:rsid w:val="007609F3"/>
    <w:rsid w:val="00760D79"/>
    <w:rsid w:val="0076116A"/>
    <w:rsid w:val="00761332"/>
    <w:rsid w:val="007613AF"/>
    <w:rsid w:val="0076145C"/>
    <w:rsid w:val="007619FB"/>
    <w:rsid w:val="00761A37"/>
    <w:rsid w:val="0076200C"/>
    <w:rsid w:val="0076261F"/>
    <w:rsid w:val="00762924"/>
    <w:rsid w:val="0076295C"/>
    <w:rsid w:val="00762C4A"/>
    <w:rsid w:val="00762C64"/>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050"/>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4E7"/>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B4D"/>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1E"/>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68"/>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2F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4F25"/>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462"/>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B3B"/>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1A"/>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44C"/>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5C9"/>
    <w:rsid w:val="00823335"/>
    <w:rsid w:val="00823422"/>
    <w:rsid w:val="008235E4"/>
    <w:rsid w:val="008237B2"/>
    <w:rsid w:val="00823B2A"/>
    <w:rsid w:val="00823F61"/>
    <w:rsid w:val="0082449E"/>
    <w:rsid w:val="00824611"/>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02"/>
    <w:rsid w:val="0083179C"/>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542"/>
    <w:rsid w:val="0084296C"/>
    <w:rsid w:val="00842B49"/>
    <w:rsid w:val="00842DB7"/>
    <w:rsid w:val="008431F3"/>
    <w:rsid w:val="0084387F"/>
    <w:rsid w:val="00843AFD"/>
    <w:rsid w:val="00843B2C"/>
    <w:rsid w:val="008444E3"/>
    <w:rsid w:val="008444F8"/>
    <w:rsid w:val="008445D2"/>
    <w:rsid w:val="00844750"/>
    <w:rsid w:val="00844864"/>
    <w:rsid w:val="00845A0F"/>
    <w:rsid w:val="00845A92"/>
    <w:rsid w:val="00845F51"/>
    <w:rsid w:val="00846106"/>
    <w:rsid w:val="008461FC"/>
    <w:rsid w:val="00846273"/>
    <w:rsid w:val="00846467"/>
    <w:rsid w:val="00846661"/>
    <w:rsid w:val="00846874"/>
    <w:rsid w:val="00846AC4"/>
    <w:rsid w:val="00846C77"/>
    <w:rsid w:val="00846E99"/>
    <w:rsid w:val="008470A4"/>
    <w:rsid w:val="008477B1"/>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0F7"/>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699"/>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BD2"/>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D84"/>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E17"/>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8F8"/>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D8"/>
    <w:rsid w:val="008C44F6"/>
    <w:rsid w:val="008C4B47"/>
    <w:rsid w:val="008C4D56"/>
    <w:rsid w:val="008C570A"/>
    <w:rsid w:val="008C59D5"/>
    <w:rsid w:val="008C5B10"/>
    <w:rsid w:val="008C6970"/>
    <w:rsid w:val="008C69DC"/>
    <w:rsid w:val="008C6BD9"/>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2CF"/>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B37"/>
    <w:rsid w:val="008F3D2D"/>
    <w:rsid w:val="008F3D7C"/>
    <w:rsid w:val="008F3DC9"/>
    <w:rsid w:val="008F4107"/>
    <w:rsid w:val="008F4B0F"/>
    <w:rsid w:val="008F4BFE"/>
    <w:rsid w:val="008F4E3F"/>
    <w:rsid w:val="008F5406"/>
    <w:rsid w:val="008F5461"/>
    <w:rsid w:val="008F5866"/>
    <w:rsid w:val="008F595E"/>
    <w:rsid w:val="008F60FF"/>
    <w:rsid w:val="008F6188"/>
    <w:rsid w:val="008F6649"/>
    <w:rsid w:val="008F692B"/>
    <w:rsid w:val="008F6CD1"/>
    <w:rsid w:val="008F6FBB"/>
    <w:rsid w:val="008F7365"/>
    <w:rsid w:val="008F7BD6"/>
    <w:rsid w:val="008F7CEF"/>
    <w:rsid w:val="009000FD"/>
    <w:rsid w:val="00900892"/>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DC9"/>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4BD7"/>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04"/>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0F7"/>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05B"/>
    <w:rsid w:val="009654F0"/>
    <w:rsid w:val="009659EA"/>
    <w:rsid w:val="00965A4A"/>
    <w:rsid w:val="00965CA5"/>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008"/>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565"/>
    <w:rsid w:val="00985971"/>
    <w:rsid w:val="00985BA2"/>
    <w:rsid w:val="00985CA4"/>
    <w:rsid w:val="00985DAF"/>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3"/>
    <w:rsid w:val="00993877"/>
    <w:rsid w:val="00993D38"/>
    <w:rsid w:val="0099464F"/>
    <w:rsid w:val="00994D59"/>
    <w:rsid w:val="009951AB"/>
    <w:rsid w:val="0099531F"/>
    <w:rsid w:val="00995360"/>
    <w:rsid w:val="009954AD"/>
    <w:rsid w:val="00995988"/>
    <w:rsid w:val="00995DE6"/>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E4E"/>
    <w:rsid w:val="009A3183"/>
    <w:rsid w:val="009A3299"/>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0F29"/>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18"/>
    <w:rsid w:val="009C7F47"/>
    <w:rsid w:val="009D008A"/>
    <w:rsid w:val="009D0361"/>
    <w:rsid w:val="009D0720"/>
    <w:rsid w:val="009D0C8D"/>
    <w:rsid w:val="009D1342"/>
    <w:rsid w:val="009D15EA"/>
    <w:rsid w:val="009D1ED3"/>
    <w:rsid w:val="009D1F69"/>
    <w:rsid w:val="009D2118"/>
    <w:rsid w:val="009D22EA"/>
    <w:rsid w:val="009D2453"/>
    <w:rsid w:val="009D2CDE"/>
    <w:rsid w:val="009D3008"/>
    <w:rsid w:val="009D31BC"/>
    <w:rsid w:val="009D394E"/>
    <w:rsid w:val="009D3EBC"/>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BB6"/>
    <w:rsid w:val="009E4FCC"/>
    <w:rsid w:val="009E5656"/>
    <w:rsid w:val="009E5AB4"/>
    <w:rsid w:val="009E6036"/>
    <w:rsid w:val="009E60C7"/>
    <w:rsid w:val="009E641D"/>
    <w:rsid w:val="009E6463"/>
    <w:rsid w:val="009E6A64"/>
    <w:rsid w:val="009E6DCE"/>
    <w:rsid w:val="009E6FBA"/>
    <w:rsid w:val="009E6FC8"/>
    <w:rsid w:val="009E7256"/>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B0F"/>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39C"/>
    <w:rsid w:val="00A07594"/>
    <w:rsid w:val="00A07654"/>
    <w:rsid w:val="00A07656"/>
    <w:rsid w:val="00A07B16"/>
    <w:rsid w:val="00A07F0B"/>
    <w:rsid w:val="00A10230"/>
    <w:rsid w:val="00A105DB"/>
    <w:rsid w:val="00A106FE"/>
    <w:rsid w:val="00A107B6"/>
    <w:rsid w:val="00A10B48"/>
    <w:rsid w:val="00A10C73"/>
    <w:rsid w:val="00A10E73"/>
    <w:rsid w:val="00A10F68"/>
    <w:rsid w:val="00A114B5"/>
    <w:rsid w:val="00A115BF"/>
    <w:rsid w:val="00A118A5"/>
    <w:rsid w:val="00A1196F"/>
    <w:rsid w:val="00A1197E"/>
    <w:rsid w:val="00A11A89"/>
    <w:rsid w:val="00A11ACA"/>
    <w:rsid w:val="00A11DF9"/>
    <w:rsid w:val="00A11E0F"/>
    <w:rsid w:val="00A12137"/>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BFB"/>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998"/>
    <w:rsid w:val="00A22E9B"/>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268"/>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68DC"/>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57B"/>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57"/>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1A1"/>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29D"/>
    <w:rsid w:val="00A6367F"/>
    <w:rsid w:val="00A63872"/>
    <w:rsid w:val="00A63A37"/>
    <w:rsid w:val="00A63BE0"/>
    <w:rsid w:val="00A64196"/>
    <w:rsid w:val="00A647A9"/>
    <w:rsid w:val="00A648CD"/>
    <w:rsid w:val="00A649B4"/>
    <w:rsid w:val="00A64BC7"/>
    <w:rsid w:val="00A64EB1"/>
    <w:rsid w:val="00A65204"/>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0B60"/>
    <w:rsid w:val="00A8135C"/>
    <w:rsid w:val="00A81633"/>
    <w:rsid w:val="00A81694"/>
    <w:rsid w:val="00A81CE0"/>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10D"/>
    <w:rsid w:val="00A91218"/>
    <w:rsid w:val="00A91469"/>
    <w:rsid w:val="00A91498"/>
    <w:rsid w:val="00A9164F"/>
    <w:rsid w:val="00A91F3E"/>
    <w:rsid w:val="00A92457"/>
    <w:rsid w:val="00A92747"/>
    <w:rsid w:val="00A927EE"/>
    <w:rsid w:val="00A92B81"/>
    <w:rsid w:val="00A92BE8"/>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3B49"/>
    <w:rsid w:val="00AA461D"/>
    <w:rsid w:val="00AA4C09"/>
    <w:rsid w:val="00AA4F41"/>
    <w:rsid w:val="00AA5584"/>
    <w:rsid w:val="00AA576F"/>
    <w:rsid w:val="00AA6026"/>
    <w:rsid w:val="00AA6206"/>
    <w:rsid w:val="00AA630A"/>
    <w:rsid w:val="00AA635D"/>
    <w:rsid w:val="00AA65E5"/>
    <w:rsid w:val="00AA69EF"/>
    <w:rsid w:val="00AA6F21"/>
    <w:rsid w:val="00AA6F9A"/>
    <w:rsid w:val="00AA6FAF"/>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992"/>
    <w:rsid w:val="00AB3E16"/>
    <w:rsid w:val="00AB3E3E"/>
    <w:rsid w:val="00AB3F13"/>
    <w:rsid w:val="00AB4157"/>
    <w:rsid w:val="00AB42FF"/>
    <w:rsid w:val="00AB4300"/>
    <w:rsid w:val="00AB476F"/>
    <w:rsid w:val="00AB4B4E"/>
    <w:rsid w:val="00AB4D67"/>
    <w:rsid w:val="00AB4EFB"/>
    <w:rsid w:val="00AB4FEA"/>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4EF4"/>
    <w:rsid w:val="00AC5C2A"/>
    <w:rsid w:val="00AC5F7E"/>
    <w:rsid w:val="00AC61B3"/>
    <w:rsid w:val="00AC63F4"/>
    <w:rsid w:val="00AC6786"/>
    <w:rsid w:val="00AC6CE6"/>
    <w:rsid w:val="00AC7470"/>
    <w:rsid w:val="00AC7DE9"/>
    <w:rsid w:val="00AD12BD"/>
    <w:rsid w:val="00AD1403"/>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D3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4AEB"/>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B0"/>
    <w:rsid w:val="00B010D3"/>
    <w:rsid w:val="00B01CC2"/>
    <w:rsid w:val="00B01EC5"/>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5E92"/>
    <w:rsid w:val="00B066D3"/>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1F33"/>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6D10"/>
    <w:rsid w:val="00B271E3"/>
    <w:rsid w:val="00B27202"/>
    <w:rsid w:val="00B27470"/>
    <w:rsid w:val="00B2757B"/>
    <w:rsid w:val="00B27A6A"/>
    <w:rsid w:val="00B27D54"/>
    <w:rsid w:val="00B3004E"/>
    <w:rsid w:val="00B3057A"/>
    <w:rsid w:val="00B308C7"/>
    <w:rsid w:val="00B30B28"/>
    <w:rsid w:val="00B317EB"/>
    <w:rsid w:val="00B318CB"/>
    <w:rsid w:val="00B31C72"/>
    <w:rsid w:val="00B31E5F"/>
    <w:rsid w:val="00B322A7"/>
    <w:rsid w:val="00B324A4"/>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702"/>
    <w:rsid w:val="00B4003E"/>
    <w:rsid w:val="00B40292"/>
    <w:rsid w:val="00B406B2"/>
    <w:rsid w:val="00B40A84"/>
    <w:rsid w:val="00B40D73"/>
    <w:rsid w:val="00B4110D"/>
    <w:rsid w:val="00B411A3"/>
    <w:rsid w:val="00B412CB"/>
    <w:rsid w:val="00B416D8"/>
    <w:rsid w:val="00B41B34"/>
    <w:rsid w:val="00B41BEE"/>
    <w:rsid w:val="00B42879"/>
    <w:rsid w:val="00B430D3"/>
    <w:rsid w:val="00B43137"/>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A8E"/>
    <w:rsid w:val="00B56E91"/>
    <w:rsid w:val="00B56F22"/>
    <w:rsid w:val="00B572B3"/>
    <w:rsid w:val="00B574BA"/>
    <w:rsid w:val="00B57770"/>
    <w:rsid w:val="00B57861"/>
    <w:rsid w:val="00B57CFF"/>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BC1"/>
    <w:rsid w:val="00B62F1E"/>
    <w:rsid w:val="00B63870"/>
    <w:rsid w:val="00B640AB"/>
    <w:rsid w:val="00B64124"/>
    <w:rsid w:val="00B64398"/>
    <w:rsid w:val="00B64484"/>
    <w:rsid w:val="00B645F8"/>
    <w:rsid w:val="00B64A44"/>
    <w:rsid w:val="00B64F38"/>
    <w:rsid w:val="00B6521A"/>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B6D"/>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A29"/>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3BD"/>
    <w:rsid w:val="00BC16BF"/>
    <w:rsid w:val="00BC16E7"/>
    <w:rsid w:val="00BC1B4B"/>
    <w:rsid w:val="00BC201A"/>
    <w:rsid w:val="00BC2402"/>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1E8"/>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061"/>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1B5"/>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56D"/>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3DC"/>
    <w:rsid w:val="00C71468"/>
    <w:rsid w:val="00C71D23"/>
    <w:rsid w:val="00C723AF"/>
    <w:rsid w:val="00C723CA"/>
    <w:rsid w:val="00C72681"/>
    <w:rsid w:val="00C7271F"/>
    <w:rsid w:val="00C72B80"/>
    <w:rsid w:val="00C72EF5"/>
    <w:rsid w:val="00C7322E"/>
    <w:rsid w:val="00C733ED"/>
    <w:rsid w:val="00C7357D"/>
    <w:rsid w:val="00C73BF6"/>
    <w:rsid w:val="00C73F29"/>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A6C"/>
    <w:rsid w:val="00C80CD8"/>
    <w:rsid w:val="00C80DB5"/>
    <w:rsid w:val="00C8198E"/>
    <w:rsid w:val="00C81B30"/>
    <w:rsid w:val="00C81F5D"/>
    <w:rsid w:val="00C8220B"/>
    <w:rsid w:val="00C8235E"/>
    <w:rsid w:val="00C82387"/>
    <w:rsid w:val="00C823D0"/>
    <w:rsid w:val="00C831FC"/>
    <w:rsid w:val="00C83220"/>
    <w:rsid w:val="00C8395C"/>
    <w:rsid w:val="00C83D50"/>
    <w:rsid w:val="00C840BE"/>
    <w:rsid w:val="00C84231"/>
    <w:rsid w:val="00C847C8"/>
    <w:rsid w:val="00C84B5B"/>
    <w:rsid w:val="00C84D5A"/>
    <w:rsid w:val="00C85034"/>
    <w:rsid w:val="00C8534D"/>
    <w:rsid w:val="00C8543B"/>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9F"/>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5DE2"/>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402"/>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BB3"/>
    <w:rsid w:val="00CF6C9A"/>
    <w:rsid w:val="00CF74F6"/>
    <w:rsid w:val="00CF7521"/>
    <w:rsid w:val="00CF76AE"/>
    <w:rsid w:val="00CF788C"/>
    <w:rsid w:val="00CF7CCF"/>
    <w:rsid w:val="00CF7D8D"/>
    <w:rsid w:val="00CF7FE6"/>
    <w:rsid w:val="00D002EF"/>
    <w:rsid w:val="00D0033A"/>
    <w:rsid w:val="00D00429"/>
    <w:rsid w:val="00D00522"/>
    <w:rsid w:val="00D00B22"/>
    <w:rsid w:val="00D00FCA"/>
    <w:rsid w:val="00D014B1"/>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59"/>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2BED"/>
    <w:rsid w:val="00D33313"/>
    <w:rsid w:val="00D3332A"/>
    <w:rsid w:val="00D333D7"/>
    <w:rsid w:val="00D33410"/>
    <w:rsid w:val="00D33418"/>
    <w:rsid w:val="00D33458"/>
    <w:rsid w:val="00D33AFC"/>
    <w:rsid w:val="00D33C0E"/>
    <w:rsid w:val="00D33FF1"/>
    <w:rsid w:val="00D3410B"/>
    <w:rsid w:val="00D344C9"/>
    <w:rsid w:val="00D358B2"/>
    <w:rsid w:val="00D359BB"/>
    <w:rsid w:val="00D35FCC"/>
    <w:rsid w:val="00D3609F"/>
    <w:rsid w:val="00D3610A"/>
    <w:rsid w:val="00D366C8"/>
    <w:rsid w:val="00D368C6"/>
    <w:rsid w:val="00D36C8E"/>
    <w:rsid w:val="00D36D5A"/>
    <w:rsid w:val="00D370A6"/>
    <w:rsid w:val="00D370AA"/>
    <w:rsid w:val="00D374E1"/>
    <w:rsid w:val="00D37A26"/>
    <w:rsid w:val="00D37C2D"/>
    <w:rsid w:val="00D404CE"/>
    <w:rsid w:val="00D40D79"/>
    <w:rsid w:val="00D40E25"/>
    <w:rsid w:val="00D40E78"/>
    <w:rsid w:val="00D40F0F"/>
    <w:rsid w:val="00D40F5C"/>
    <w:rsid w:val="00D40FCF"/>
    <w:rsid w:val="00D41009"/>
    <w:rsid w:val="00D411D0"/>
    <w:rsid w:val="00D413F0"/>
    <w:rsid w:val="00D41901"/>
    <w:rsid w:val="00D41CD0"/>
    <w:rsid w:val="00D41F6F"/>
    <w:rsid w:val="00D421D9"/>
    <w:rsid w:val="00D42223"/>
    <w:rsid w:val="00D422E4"/>
    <w:rsid w:val="00D424E7"/>
    <w:rsid w:val="00D42696"/>
    <w:rsid w:val="00D426E8"/>
    <w:rsid w:val="00D426FB"/>
    <w:rsid w:val="00D429CB"/>
    <w:rsid w:val="00D42B71"/>
    <w:rsid w:val="00D42C31"/>
    <w:rsid w:val="00D42D5D"/>
    <w:rsid w:val="00D42E22"/>
    <w:rsid w:val="00D43418"/>
    <w:rsid w:val="00D43888"/>
    <w:rsid w:val="00D43DA9"/>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555"/>
    <w:rsid w:val="00D7066F"/>
    <w:rsid w:val="00D70A35"/>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AF7"/>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9C4"/>
    <w:rsid w:val="00D82AA1"/>
    <w:rsid w:val="00D83001"/>
    <w:rsid w:val="00D83401"/>
    <w:rsid w:val="00D83850"/>
    <w:rsid w:val="00D84268"/>
    <w:rsid w:val="00D84278"/>
    <w:rsid w:val="00D846C5"/>
    <w:rsid w:val="00D847C6"/>
    <w:rsid w:val="00D84EF8"/>
    <w:rsid w:val="00D84F16"/>
    <w:rsid w:val="00D84FF0"/>
    <w:rsid w:val="00D855BA"/>
    <w:rsid w:val="00D86095"/>
    <w:rsid w:val="00D861D9"/>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28"/>
    <w:rsid w:val="00D957C0"/>
    <w:rsid w:val="00D95BC2"/>
    <w:rsid w:val="00D95BFF"/>
    <w:rsid w:val="00D95F45"/>
    <w:rsid w:val="00D9609C"/>
    <w:rsid w:val="00D96267"/>
    <w:rsid w:val="00D96AD5"/>
    <w:rsid w:val="00D9793D"/>
    <w:rsid w:val="00D97A27"/>
    <w:rsid w:val="00D97D08"/>
    <w:rsid w:val="00D97E86"/>
    <w:rsid w:val="00DA000D"/>
    <w:rsid w:val="00DA015E"/>
    <w:rsid w:val="00DA02EC"/>
    <w:rsid w:val="00DA05B0"/>
    <w:rsid w:val="00DA077A"/>
    <w:rsid w:val="00DA09CA"/>
    <w:rsid w:val="00DA0FC0"/>
    <w:rsid w:val="00DA10F6"/>
    <w:rsid w:val="00DA16DB"/>
    <w:rsid w:val="00DA1B13"/>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35F"/>
    <w:rsid w:val="00DC057F"/>
    <w:rsid w:val="00DC0D33"/>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236"/>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697"/>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D7AD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B7F"/>
    <w:rsid w:val="00DE3D42"/>
    <w:rsid w:val="00DE3E7C"/>
    <w:rsid w:val="00DE42A3"/>
    <w:rsid w:val="00DE45BE"/>
    <w:rsid w:val="00DE464E"/>
    <w:rsid w:val="00DE4664"/>
    <w:rsid w:val="00DE4811"/>
    <w:rsid w:val="00DE4B0C"/>
    <w:rsid w:val="00DE5C00"/>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2BA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6CAA"/>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2D04"/>
    <w:rsid w:val="00E0324B"/>
    <w:rsid w:val="00E0345F"/>
    <w:rsid w:val="00E03BEA"/>
    <w:rsid w:val="00E0401E"/>
    <w:rsid w:val="00E04234"/>
    <w:rsid w:val="00E046C1"/>
    <w:rsid w:val="00E049EC"/>
    <w:rsid w:val="00E05A43"/>
    <w:rsid w:val="00E05D90"/>
    <w:rsid w:val="00E05EC5"/>
    <w:rsid w:val="00E05FC4"/>
    <w:rsid w:val="00E06977"/>
    <w:rsid w:val="00E06AF4"/>
    <w:rsid w:val="00E06C16"/>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256"/>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6CA"/>
    <w:rsid w:val="00E377BF"/>
    <w:rsid w:val="00E37A51"/>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6F11"/>
    <w:rsid w:val="00E47821"/>
    <w:rsid w:val="00E47B7B"/>
    <w:rsid w:val="00E47D5F"/>
    <w:rsid w:val="00E47D96"/>
    <w:rsid w:val="00E47DF6"/>
    <w:rsid w:val="00E50344"/>
    <w:rsid w:val="00E508D6"/>
    <w:rsid w:val="00E50BBD"/>
    <w:rsid w:val="00E50F30"/>
    <w:rsid w:val="00E515A3"/>
    <w:rsid w:val="00E51E15"/>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6F7F"/>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4B5C"/>
    <w:rsid w:val="00E7524F"/>
    <w:rsid w:val="00E7556D"/>
    <w:rsid w:val="00E75693"/>
    <w:rsid w:val="00E756FB"/>
    <w:rsid w:val="00E75918"/>
    <w:rsid w:val="00E76141"/>
    <w:rsid w:val="00E76270"/>
    <w:rsid w:val="00E76666"/>
    <w:rsid w:val="00E76B45"/>
    <w:rsid w:val="00E77040"/>
    <w:rsid w:val="00E77136"/>
    <w:rsid w:val="00E772C4"/>
    <w:rsid w:val="00E77355"/>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5AB"/>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557C"/>
    <w:rsid w:val="00EC60A1"/>
    <w:rsid w:val="00EC614D"/>
    <w:rsid w:val="00EC6337"/>
    <w:rsid w:val="00EC6D31"/>
    <w:rsid w:val="00EC6D68"/>
    <w:rsid w:val="00EC6D82"/>
    <w:rsid w:val="00EC7183"/>
    <w:rsid w:val="00EC71AB"/>
    <w:rsid w:val="00EC78C8"/>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649"/>
    <w:rsid w:val="00EE18BB"/>
    <w:rsid w:val="00EE1938"/>
    <w:rsid w:val="00EE1A57"/>
    <w:rsid w:val="00EE1B7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986"/>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FA"/>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5CE"/>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4E2E"/>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EAE"/>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266"/>
    <w:rsid w:val="00F763DF"/>
    <w:rsid w:val="00F76B16"/>
    <w:rsid w:val="00F77028"/>
    <w:rsid w:val="00F77413"/>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93"/>
    <w:rsid w:val="00F82272"/>
    <w:rsid w:val="00F8232E"/>
    <w:rsid w:val="00F825FF"/>
    <w:rsid w:val="00F82760"/>
    <w:rsid w:val="00F82956"/>
    <w:rsid w:val="00F82A7D"/>
    <w:rsid w:val="00F82D8E"/>
    <w:rsid w:val="00F82DBC"/>
    <w:rsid w:val="00F83301"/>
    <w:rsid w:val="00F837DD"/>
    <w:rsid w:val="00F83C5E"/>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6A1"/>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1B3"/>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ED1"/>
    <w:rsid w:val="00FA6225"/>
    <w:rsid w:val="00FA656D"/>
    <w:rsid w:val="00FA65C9"/>
    <w:rsid w:val="00FA6686"/>
    <w:rsid w:val="00FA680F"/>
    <w:rsid w:val="00FA6A8C"/>
    <w:rsid w:val="00FA6E07"/>
    <w:rsid w:val="00FA7A20"/>
    <w:rsid w:val="00FA7AA6"/>
    <w:rsid w:val="00FA7C04"/>
    <w:rsid w:val="00FB0443"/>
    <w:rsid w:val="00FB0540"/>
    <w:rsid w:val="00FB06FE"/>
    <w:rsid w:val="00FB0814"/>
    <w:rsid w:val="00FB08FB"/>
    <w:rsid w:val="00FB0B1F"/>
    <w:rsid w:val="00FB1309"/>
    <w:rsid w:val="00FB15D5"/>
    <w:rsid w:val="00FB1606"/>
    <w:rsid w:val="00FB18E8"/>
    <w:rsid w:val="00FB19D8"/>
    <w:rsid w:val="00FB22E5"/>
    <w:rsid w:val="00FB234D"/>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692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A90"/>
    <w:rsid w:val="00FE5172"/>
    <w:rsid w:val="00FE5236"/>
    <w:rsid w:val="00FE52E9"/>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987"/>
    <w:rsid w:val="00FF0BBB"/>
    <w:rsid w:val="00FF0D5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2F05B7"/>
    <w:rsid w:val="0284643E"/>
    <w:rsid w:val="029C6ECE"/>
    <w:rsid w:val="02AE2139"/>
    <w:rsid w:val="03532C3F"/>
    <w:rsid w:val="037159CC"/>
    <w:rsid w:val="03804076"/>
    <w:rsid w:val="03B25C4C"/>
    <w:rsid w:val="03F94E83"/>
    <w:rsid w:val="03FC4856"/>
    <w:rsid w:val="04532B1F"/>
    <w:rsid w:val="045A49FE"/>
    <w:rsid w:val="046942AE"/>
    <w:rsid w:val="04D3785B"/>
    <w:rsid w:val="05417863"/>
    <w:rsid w:val="054A3BE8"/>
    <w:rsid w:val="056B6146"/>
    <w:rsid w:val="05E50F90"/>
    <w:rsid w:val="067D4C1C"/>
    <w:rsid w:val="06B127E5"/>
    <w:rsid w:val="072F2729"/>
    <w:rsid w:val="07C21FA9"/>
    <w:rsid w:val="07F3503B"/>
    <w:rsid w:val="090E4DD4"/>
    <w:rsid w:val="09546605"/>
    <w:rsid w:val="0957797D"/>
    <w:rsid w:val="0972706B"/>
    <w:rsid w:val="09C21BB6"/>
    <w:rsid w:val="0A867EAB"/>
    <w:rsid w:val="0AFC60B7"/>
    <w:rsid w:val="0B2C4182"/>
    <w:rsid w:val="0BAD7041"/>
    <w:rsid w:val="0C322C0A"/>
    <w:rsid w:val="0C6F5654"/>
    <w:rsid w:val="0CE51B28"/>
    <w:rsid w:val="0D132BA9"/>
    <w:rsid w:val="0D336D1A"/>
    <w:rsid w:val="0D660AC2"/>
    <w:rsid w:val="0D672BF6"/>
    <w:rsid w:val="0E120AD5"/>
    <w:rsid w:val="0EB06FFE"/>
    <w:rsid w:val="0F196634"/>
    <w:rsid w:val="0F753B51"/>
    <w:rsid w:val="10150A41"/>
    <w:rsid w:val="10705DD0"/>
    <w:rsid w:val="118655CD"/>
    <w:rsid w:val="1257267A"/>
    <w:rsid w:val="12A472D8"/>
    <w:rsid w:val="12D64EAD"/>
    <w:rsid w:val="12FE321B"/>
    <w:rsid w:val="130859B8"/>
    <w:rsid w:val="133265E5"/>
    <w:rsid w:val="13B5695B"/>
    <w:rsid w:val="141F2191"/>
    <w:rsid w:val="14285827"/>
    <w:rsid w:val="1575AEB2"/>
    <w:rsid w:val="15BD5E76"/>
    <w:rsid w:val="164F7F6D"/>
    <w:rsid w:val="165E068A"/>
    <w:rsid w:val="1702D3F2"/>
    <w:rsid w:val="179A09B4"/>
    <w:rsid w:val="188D2058"/>
    <w:rsid w:val="18BA7603"/>
    <w:rsid w:val="18EC06E6"/>
    <w:rsid w:val="18FD3F86"/>
    <w:rsid w:val="192B740B"/>
    <w:rsid w:val="19497C62"/>
    <w:rsid w:val="1A514204"/>
    <w:rsid w:val="1B2E5429"/>
    <w:rsid w:val="1B2E6DC7"/>
    <w:rsid w:val="1B5316CE"/>
    <w:rsid w:val="1B5E59D2"/>
    <w:rsid w:val="1C040825"/>
    <w:rsid w:val="1C2A6D43"/>
    <w:rsid w:val="1C766428"/>
    <w:rsid w:val="1D06613F"/>
    <w:rsid w:val="1DD50930"/>
    <w:rsid w:val="1DF407BB"/>
    <w:rsid w:val="1E38003B"/>
    <w:rsid w:val="1F850095"/>
    <w:rsid w:val="1FA02687"/>
    <w:rsid w:val="1FB91CD0"/>
    <w:rsid w:val="20910CB1"/>
    <w:rsid w:val="20CD42FE"/>
    <w:rsid w:val="21035A99"/>
    <w:rsid w:val="21282288"/>
    <w:rsid w:val="231C2740"/>
    <w:rsid w:val="23680C07"/>
    <w:rsid w:val="239E142D"/>
    <w:rsid w:val="245870DE"/>
    <w:rsid w:val="247247A7"/>
    <w:rsid w:val="2473146A"/>
    <w:rsid w:val="24F6768A"/>
    <w:rsid w:val="252B5C82"/>
    <w:rsid w:val="25D36249"/>
    <w:rsid w:val="262A4F50"/>
    <w:rsid w:val="277717BA"/>
    <w:rsid w:val="27C5366D"/>
    <w:rsid w:val="27DD67CA"/>
    <w:rsid w:val="28690808"/>
    <w:rsid w:val="28B07E55"/>
    <w:rsid w:val="28B54AA2"/>
    <w:rsid w:val="294D6347"/>
    <w:rsid w:val="29FF22FA"/>
    <w:rsid w:val="2A0F0B23"/>
    <w:rsid w:val="2ACC5995"/>
    <w:rsid w:val="2AFE2B7E"/>
    <w:rsid w:val="2B0C0D8F"/>
    <w:rsid w:val="2C1B2AB3"/>
    <w:rsid w:val="2C991C29"/>
    <w:rsid w:val="2CC038FC"/>
    <w:rsid w:val="2D376513"/>
    <w:rsid w:val="2D392BA1"/>
    <w:rsid w:val="2DC863F1"/>
    <w:rsid w:val="2E49725C"/>
    <w:rsid w:val="2EB72406"/>
    <w:rsid w:val="2EF102F9"/>
    <w:rsid w:val="2F1C5083"/>
    <w:rsid w:val="2F2367DE"/>
    <w:rsid w:val="2FDA39D2"/>
    <w:rsid w:val="31542D3B"/>
    <w:rsid w:val="31A276D9"/>
    <w:rsid w:val="32832752"/>
    <w:rsid w:val="32FE23BF"/>
    <w:rsid w:val="330E6893"/>
    <w:rsid w:val="33DE0CB9"/>
    <w:rsid w:val="34165FE0"/>
    <w:rsid w:val="34457AEF"/>
    <w:rsid w:val="3511129D"/>
    <w:rsid w:val="3526273F"/>
    <w:rsid w:val="359455FE"/>
    <w:rsid w:val="36CD07B0"/>
    <w:rsid w:val="375C57D7"/>
    <w:rsid w:val="37DD651E"/>
    <w:rsid w:val="37EB613A"/>
    <w:rsid w:val="38735E71"/>
    <w:rsid w:val="38AF7030"/>
    <w:rsid w:val="38BA113F"/>
    <w:rsid w:val="39A249F6"/>
    <w:rsid w:val="3A135075"/>
    <w:rsid w:val="3A6B03C3"/>
    <w:rsid w:val="3A8424B5"/>
    <w:rsid w:val="3AB31D0C"/>
    <w:rsid w:val="3AE203A5"/>
    <w:rsid w:val="3B4A3B53"/>
    <w:rsid w:val="3BF47021"/>
    <w:rsid w:val="3C923082"/>
    <w:rsid w:val="3D0354C7"/>
    <w:rsid w:val="3D036E54"/>
    <w:rsid w:val="3D7642C9"/>
    <w:rsid w:val="3DDA6D42"/>
    <w:rsid w:val="3E7347F4"/>
    <w:rsid w:val="3EF83C43"/>
    <w:rsid w:val="3F01664D"/>
    <w:rsid w:val="3F175FC8"/>
    <w:rsid w:val="3FD010A5"/>
    <w:rsid w:val="40850DCD"/>
    <w:rsid w:val="41AC1D9C"/>
    <w:rsid w:val="420D22A5"/>
    <w:rsid w:val="4242619A"/>
    <w:rsid w:val="42B20782"/>
    <w:rsid w:val="42D56493"/>
    <w:rsid w:val="441C2E6C"/>
    <w:rsid w:val="44917C93"/>
    <w:rsid w:val="46D41E44"/>
    <w:rsid w:val="46FD4CDD"/>
    <w:rsid w:val="47AE2F53"/>
    <w:rsid w:val="47C04CB5"/>
    <w:rsid w:val="47D53824"/>
    <w:rsid w:val="47EA3FF2"/>
    <w:rsid w:val="49446ABC"/>
    <w:rsid w:val="496938E0"/>
    <w:rsid w:val="49882B35"/>
    <w:rsid w:val="4A216299"/>
    <w:rsid w:val="4A2A1BF5"/>
    <w:rsid w:val="4B1B1218"/>
    <w:rsid w:val="4B215645"/>
    <w:rsid w:val="4B3872E6"/>
    <w:rsid w:val="4CA149AE"/>
    <w:rsid w:val="4CD1308A"/>
    <w:rsid w:val="4CD17DFE"/>
    <w:rsid w:val="4DA84262"/>
    <w:rsid w:val="4DF51404"/>
    <w:rsid w:val="4E5633F4"/>
    <w:rsid w:val="4E7740D9"/>
    <w:rsid w:val="4EAC0AFF"/>
    <w:rsid w:val="4EC2021D"/>
    <w:rsid w:val="4F540E8D"/>
    <w:rsid w:val="50FD13B2"/>
    <w:rsid w:val="521551BA"/>
    <w:rsid w:val="52FE30BB"/>
    <w:rsid w:val="536E79E7"/>
    <w:rsid w:val="53B16D71"/>
    <w:rsid w:val="53B431E5"/>
    <w:rsid w:val="54CE2507"/>
    <w:rsid w:val="55181CD2"/>
    <w:rsid w:val="55816065"/>
    <w:rsid w:val="55D01D97"/>
    <w:rsid w:val="56460BFC"/>
    <w:rsid w:val="568F21E8"/>
    <w:rsid w:val="56D21792"/>
    <w:rsid w:val="57244B18"/>
    <w:rsid w:val="57AE3DD2"/>
    <w:rsid w:val="57EF6871"/>
    <w:rsid w:val="57FE3328"/>
    <w:rsid w:val="58240039"/>
    <w:rsid w:val="58C75AD1"/>
    <w:rsid w:val="593025E2"/>
    <w:rsid w:val="595A121E"/>
    <w:rsid w:val="59C75644"/>
    <w:rsid w:val="5A1734EC"/>
    <w:rsid w:val="5A4F6205"/>
    <w:rsid w:val="5A866AF8"/>
    <w:rsid w:val="5AF07FF7"/>
    <w:rsid w:val="5AF422E5"/>
    <w:rsid w:val="5B4B7A17"/>
    <w:rsid w:val="5BF26431"/>
    <w:rsid w:val="5D436F9C"/>
    <w:rsid w:val="5DFC6C4C"/>
    <w:rsid w:val="5E0963CE"/>
    <w:rsid w:val="5E4D6E9D"/>
    <w:rsid w:val="5E780DEA"/>
    <w:rsid w:val="5F4B17CF"/>
    <w:rsid w:val="5F631FA8"/>
    <w:rsid w:val="5FDA185D"/>
    <w:rsid w:val="60A80DDF"/>
    <w:rsid w:val="62772955"/>
    <w:rsid w:val="630634F8"/>
    <w:rsid w:val="630705FF"/>
    <w:rsid w:val="65507243"/>
    <w:rsid w:val="65576B9C"/>
    <w:rsid w:val="656027FF"/>
    <w:rsid w:val="661D1829"/>
    <w:rsid w:val="66457E51"/>
    <w:rsid w:val="6680376E"/>
    <w:rsid w:val="66ED31EA"/>
    <w:rsid w:val="67177DCF"/>
    <w:rsid w:val="68C24A53"/>
    <w:rsid w:val="68FC048E"/>
    <w:rsid w:val="691A3243"/>
    <w:rsid w:val="696778F6"/>
    <w:rsid w:val="696C42BB"/>
    <w:rsid w:val="698A6B0F"/>
    <w:rsid w:val="6A782EAA"/>
    <w:rsid w:val="6A907363"/>
    <w:rsid w:val="6AB42B93"/>
    <w:rsid w:val="6B704279"/>
    <w:rsid w:val="6B8B75BB"/>
    <w:rsid w:val="6BD61942"/>
    <w:rsid w:val="6C004889"/>
    <w:rsid w:val="6D020EA1"/>
    <w:rsid w:val="6E0F1211"/>
    <w:rsid w:val="6ED5379A"/>
    <w:rsid w:val="6F6C3C47"/>
    <w:rsid w:val="6FBD0858"/>
    <w:rsid w:val="70AF7781"/>
    <w:rsid w:val="70D7310F"/>
    <w:rsid w:val="72E1752D"/>
    <w:rsid w:val="73A015C2"/>
    <w:rsid w:val="73A913CF"/>
    <w:rsid w:val="73EB1497"/>
    <w:rsid w:val="74000A47"/>
    <w:rsid w:val="740C2878"/>
    <w:rsid w:val="74885606"/>
    <w:rsid w:val="751115BE"/>
    <w:rsid w:val="75740E00"/>
    <w:rsid w:val="758F55D7"/>
    <w:rsid w:val="7596768A"/>
    <w:rsid w:val="763A080C"/>
    <w:rsid w:val="76EB5B39"/>
    <w:rsid w:val="776F4F23"/>
    <w:rsid w:val="78156E78"/>
    <w:rsid w:val="782D5EAF"/>
    <w:rsid w:val="785E1CD6"/>
    <w:rsid w:val="786302A1"/>
    <w:rsid w:val="789F1175"/>
    <w:rsid w:val="7931734A"/>
    <w:rsid w:val="794F2103"/>
    <w:rsid w:val="79FD25F6"/>
    <w:rsid w:val="7A835347"/>
    <w:rsid w:val="7AC9279A"/>
    <w:rsid w:val="7ADB38D4"/>
    <w:rsid w:val="7AEA4EB6"/>
    <w:rsid w:val="7B311322"/>
    <w:rsid w:val="7CAD1DC6"/>
    <w:rsid w:val="7DD2691C"/>
    <w:rsid w:val="7E3563A1"/>
    <w:rsid w:val="7E387107"/>
    <w:rsid w:val="7E5631AE"/>
    <w:rsid w:val="7E907410"/>
    <w:rsid w:val="7E9326F9"/>
    <w:rsid w:val="7EE20452"/>
    <w:rsid w:val="7EE70DCD"/>
    <w:rsid w:val="7F395D9C"/>
    <w:rsid w:val="7FCA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CA939F-293C-4772-8E72-9B48F1FD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1"/>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2"/>
    <w:qFormat/>
    <w:pPr>
      <w:ind w:left="1702"/>
    </w:pPr>
  </w:style>
  <w:style w:type="paragraph" w:styleId="40">
    <w:name w:val="List Number 4"/>
    <w:basedOn w:val="a0"/>
    <w:qFormat/>
    <w:pPr>
      <w:widowControl w:val="0"/>
      <w:numPr>
        <w:numId w:val="2"/>
      </w:numPr>
      <w:tabs>
        <w:tab w:val="left" w:pos="1209"/>
      </w:tabs>
      <w:overflowPunct/>
      <w:autoSpaceDE/>
      <w:autoSpaceDN/>
      <w:adjustRightInd/>
      <w:spacing w:after="0"/>
      <w:ind w:left="1209"/>
      <w:textAlignment w:val="auto"/>
    </w:pPr>
    <w:rPr>
      <w:rFonts w:asciiTheme="minorHAnsi" w:eastAsia="MS Mincho" w:hAnsiTheme="minorHAnsi" w:cstheme="minorBidi"/>
      <w:kern w:val="2"/>
      <w:sz w:val="21"/>
      <w:szCs w:val="22"/>
      <w:lang w:eastAsia="en-GB"/>
    </w:r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uiPriority w:val="22"/>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3"/>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1">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locked/>
    <w:rPr>
      <w:rFonts w:eastAsia="Calibri"/>
      <w:szCs w:val="22"/>
      <w:lang w:val="en-GB" w:eastAsia="en-US"/>
    </w:rPr>
  </w:style>
  <w:style w:type="paragraph" w:customStyle="1" w:styleId="References">
    <w:name w:val="References"/>
    <w:basedOn w:val="a0"/>
    <w:qFormat/>
    <w:pPr>
      <w:numPr>
        <w:numId w:val="5"/>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6"/>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jc w:val="center"/>
    </w:p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10"/>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1"/>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7">
    <w:name w:val="列表段落 字符1"/>
    <w:uiPriority w:val="34"/>
    <w:qFormat/>
    <w:locked/>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770065">
      <w:bodyDiv w:val="1"/>
      <w:marLeft w:val="0"/>
      <w:marRight w:val="0"/>
      <w:marTop w:val="0"/>
      <w:marBottom w:val="0"/>
      <w:divBdr>
        <w:top w:val="none" w:sz="0" w:space="0" w:color="auto"/>
        <w:left w:val="none" w:sz="0" w:space="0" w:color="auto"/>
        <w:bottom w:val="none" w:sz="0" w:space="0" w:color="auto"/>
        <w:right w:val="none" w:sz="0" w:space="0" w:color="auto"/>
      </w:divBdr>
    </w:div>
    <w:div w:id="1239562052">
      <w:bodyDiv w:val="1"/>
      <w:marLeft w:val="0"/>
      <w:marRight w:val="0"/>
      <w:marTop w:val="0"/>
      <w:marBottom w:val="0"/>
      <w:divBdr>
        <w:top w:val="none" w:sz="0" w:space="0" w:color="auto"/>
        <w:left w:val="none" w:sz="0" w:space="0" w:color="auto"/>
        <w:bottom w:val="none" w:sz="0" w:space="0" w:color="auto"/>
        <w:right w:val="none" w:sz="0" w:space="0" w:color="auto"/>
      </w:divBdr>
    </w:div>
    <w:div w:id="18036483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9461222A-2BA8-406B-B082-903E22AD7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2182</Words>
  <Characters>12440</Characters>
  <Application>Microsoft Office Word</Application>
  <DocSecurity>0</DocSecurity>
  <Lines>103</Lines>
  <Paragraphs>29</Paragraphs>
  <ScaleCrop>false</ScaleCrop>
  <Company>ZTE Corporation</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81</cp:revision>
  <cp:lastPrinted>2018-04-07T03:05:00Z</cp:lastPrinted>
  <dcterms:created xsi:type="dcterms:W3CDTF">2022-04-28T14:05:00Z</dcterms:created>
  <dcterms:modified xsi:type="dcterms:W3CDTF">2022-11-04T02:37:00Z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